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B2E1" w14:textId="394B7773" w:rsidR="009B369A" w:rsidRDefault="00B670DF" w:rsidP="009B369A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  <w:r w:rsidRPr="00B670DF"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 xml:space="preserve">Occupational Health </w:t>
      </w:r>
      <w:r w:rsidR="009B369A" w:rsidRPr="009B369A"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>Organisational Standards</w:t>
      </w:r>
    </w:p>
    <w:p w14:paraId="07D9B56A" w14:textId="77777777" w:rsidR="009B369A" w:rsidRDefault="009B369A" w:rsidP="009B369A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</w:p>
    <w:p w14:paraId="4CDE37D3" w14:textId="445E7B54" w:rsidR="7711CB72" w:rsidRDefault="7711CB72" w:rsidP="4E0E18C4">
      <w:pPr>
        <w:spacing w:after="0" w:line="240" w:lineRule="auto"/>
        <w:contextualSpacing/>
        <w:jc w:val="center"/>
      </w:pPr>
      <w:r w:rsidRPr="7226742D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Staff Voice</w:t>
      </w:r>
      <w:r w:rsidR="69B7BBB1" w:rsidRPr="7226742D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 xml:space="preserve"> in </w:t>
      </w:r>
      <w:r w:rsidR="00B670DF" w:rsidRPr="00B670DF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Occupational Health</w:t>
      </w:r>
      <w:r w:rsidR="69B7BBB1" w:rsidRPr="7226742D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 xml:space="preserve"> Strategy</w:t>
      </w:r>
    </w:p>
    <w:p w14:paraId="453470B9" w14:textId="3DA26B98" w:rsidR="7711CB72" w:rsidRDefault="7711CB72" w:rsidP="4E0E18C4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56"/>
          <w:szCs w:val="56"/>
          <w:lang w:val="en-US"/>
        </w:rPr>
      </w:pPr>
      <w:r w:rsidRPr="4E0E18C4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Evidence Requirements</w:t>
      </w:r>
    </w:p>
    <w:p w14:paraId="037D5023" w14:textId="08CCC534" w:rsidR="4E0E18C4" w:rsidRDefault="4E0E18C4" w:rsidP="4E0E18C4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56"/>
          <w:szCs w:val="56"/>
          <w:lang w:val="en-US"/>
        </w:rPr>
      </w:pPr>
    </w:p>
    <w:p w14:paraId="5AB1744A" w14:textId="3DA6AB1C" w:rsidR="4E0E18C4" w:rsidRDefault="7711CB72" w:rsidP="130226F8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  <w:r w:rsidRPr="13022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To achieve accreditation in staff voice you will need to provide evidence that you organisation has a robust strategy for </w:t>
      </w:r>
      <w:r w:rsidR="00A94474" w:rsidRPr="00A94474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Occupational Health </w:t>
      </w:r>
      <w:r w:rsidR="001C4C2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including</w:t>
      </w:r>
      <w:r w:rsidR="3D430229" w:rsidRPr="13022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staff voice</w:t>
      </w:r>
      <w:r w:rsidRPr="13022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.</w:t>
      </w:r>
    </w:p>
    <w:p w14:paraId="015772A6" w14:textId="479C2167" w:rsidR="130226F8" w:rsidRDefault="130226F8" w:rsidP="130226F8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A3610FA" w14:textId="32F9EE30" w:rsidR="4E0E18C4" w:rsidRDefault="4C58551A" w:rsidP="3D4E5807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3D4E580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Minimum evidence requirements:</w:t>
      </w:r>
    </w:p>
    <w:p w14:paraId="3A09B0C7" w14:textId="43692C03" w:rsidR="4E0E18C4" w:rsidRDefault="4E0E18C4" w:rsidP="3D4E5807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279FC24" w14:textId="41AC703A" w:rsidR="4E0E18C4" w:rsidRDefault="66F8C6E2" w:rsidP="3D4E5807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3D4E580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Individuals are safe to</w:t>
      </w:r>
      <w:r w:rsidR="402B57B3" w:rsidRPr="3D4E580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express their </w:t>
      </w:r>
      <w:r w:rsidR="00DA6C8B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health and wellbeing needs</w:t>
      </w:r>
      <w:r w:rsidR="402B57B3" w:rsidRPr="3D4E580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.</w:t>
      </w:r>
    </w:p>
    <w:p w14:paraId="664785D6" w14:textId="3AC59007" w:rsidR="4E0E18C4" w:rsidRDefault="402B57B3" w:rsidP="3D4E5807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3D4E580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Organisation wide involvement in development and review of </w:t>
      </w:r>
      <w:r w:rsidR="00F020E0" w:rsidRPr="00F020E0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Occupational Health</w:t>
      </w:r>
      <w:r w:rsidRPr="3D4E580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strategy.</w:t>
      </w:r>
    </w:p>
    <w:p w14:paraId="52A4621C" w14:textId="28EEF221" w:rsidR="4E0E18C4" w:rsidRDefault="4E0E18C4" w:rsidP="3D4E5807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D3A2E17" w14:textId="76CBF0DD" w:rsidR="4E0E18C4" w:rsidRDefault="4C58551A" w:rsidP="3D4E5807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3D4E580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Additional information can be found in guidance document.</w:t>
      </w:r>
    </w:p>
    <w:p w14:paraId="70CFC6F2" w14:textId="36D50D8B" w:rsidR="4E0E18C4" w:rsidRDefault="4E0E18C4" w:rsidP="130226F8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436C622" w14:textId="63075E34" w:rsidR="77D1B13C" w:rsidRDefault="77D1B13C" w:rsidP="130226F8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13022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Occupational health can include activities related to the wellbeing of staff, prevention and recovery from health issues at work.  </w:t>
      </w:r>
    </w:p>
    <w:p w14:paraId="467DDA0A" w14:textId="101042ED" w:rsidR="130226F8" w:rsidRDefault="130226F8" w:rsidP="130226F8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4E0E18C4" w14:paraId="7595351E" w14:textId="77777777" w:rsidTr="130226F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C12488" w14:textId="6531DD43" w:rsidR="4E0E18C4" w:rsidRDefault="2B2D0502" w:rsidP="130226F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130226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1.1 Attach evidence </w:t>
            </w:r>
            <w:r w:rsidR="4DCF3443" w:rsidRPr="130226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that individuals across the organisation recognise their own </w:t>
            </w:r>
            <w:r w:rsidR="001016E6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health and wellbeing needs</w:t>
            </w:r>
            <w:r w:rsidR="4DCF3443" w:rsidRPr="130226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  <w:r w:rsidR="088FBAB5" w:rsidRPr="130226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(If you are unable to provide links, please email to tick@tickaccreditation.com)</w:t>
            </w:r>
          </w:p>
        </w:tc>
      </w:tr>
      <w:tr w:rsidR="130226F8" w14:paraId="0E525036" w14:textId="77777777" w:rsidTr="130226F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F5FF9E" w14:textId="3227BFEB" w:rsidR="130226F8" w:rsidRDefault="130226F8" w:rsidP="130226F8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</w:tc>
      </w:tr>
      <w:tr w:rsidR="4E0E18C4" w14:paraId="56080933" w14:textId="77777777" w:rsidTr="130226F8">
        <w:trPr>
          <w:trHeight w:val="300"/>
        </w:trPr>
        <w:tc>
          <w:tcPr>
            <w:tcW w:w="900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A22CC9" w14:textId="487DE9E1" w:rsidR="4E0E18C4" w:rsidRDefault="4E0E18C4" w:rsidP="6ACC008F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6ACC008F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Possible evidence (this list is not exhaustive)</w:t>
            </w:r>
          </w:p>
        </w:tc>
      </w:tr>
      <w:tr w:rsidR="4E0E18C4" w14:paraId="70578DA7" w14:textId="77777777" w:rsidTr="130226F8">
        <w:trPr>
          <w:trHeight w:val="300"/>
        </w:trPr>
        <w:tc>
          <w:tcPr>
            <w:tcW w:w="9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8EA84" w14:textId="5467350E" w:rsidR="4E0E18C4" w:rsidRDefault="7C1874A6" w:rsidP="6ACC008F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6ACC008F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  <w:t xml:space="preserve">Staff survey </w:t>
            </w:r>
          </w:p>
          <w:p w14:paraId="250C024E" w14:textId="55B8CA72" w:rsidR="4E0E18C4" w:rsidRDefault="7C1874A6" w:rsidP="6ACC008F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  <w:r w:rsidRPr="6ACC008F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Case studies </w:t>
            </w:r>
          </w:p>
          <w:p w14:paraId="19E57077" w14:textId="5477106D" w:rsidR="4E0E18C4" w:rsidRDefault="7C1874A6" w:rsidP="6ACC008F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  <w:r w:rsidRPr="6ACC008F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Manager surveys </w:t>
            </w:r>
          </w:p>
          <w:p w14:paraId="5DAAD501" w14:textId="0012EAD5" w:rsidR="4E0E18C4" w:rsidRDefault="7C1874A6" w:rsidP="6ACC008F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  <w:r w:rsidRPr="6ACC008F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Employee surveys </w:t>
            </w:r>
          </w:p>
          <w:p w14:paraId="50D4B720" w14:textId="5EDD29DF" w:rsidR="4E0E18C4" w:rsidRDefault="7C1874A6" w:rsidP="6ACC008F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  <w:r w:rsidRPr="6ACC008F">
              <w:rPr>
                <w:rFonts w:ascii="Century Gothic" w:eastAsia="Century Gothic" w:hAnsi="Century Gothic" w:cs="Century Gothic"/>
                <w:sz w:val="24"/>
                <w:szCs w:val="24"/>
              </w:rPr>
              <w:t>Data from Employee Assistance Programmes/ Occupational Health</w:t>
            </w:r>
          </w:p>
        </w:tc>
      </w:tr>
    </w:tbl>
    <w:p w14:paraId="0F63A1FE" w14:textId="08CB71FA" w:rsidR="4E0E18C4" w:rsidRDefault="4E0E18C4" w:rsidP="6ACC008F">
      <w:pPr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4E0E18C4" w14:paraId="10882593" w14:textId="77777777" w:rsidTr="130226F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00724D" w14:textId="548FE85F" w:rsidR="4E0E18C4" w:rsidRDefault="2B2D0502" w:rsidP="130226F8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130226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lastRenderedPageBreak/>
              <w:t xml:space="preserve">1.2 Describe how </w:t>
            </w:r>
            <w:r w:rsidR="15130FDF" w:rsidRPr="130226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individuals across the organisation are safe to express their </w:t>
            </w:r>
            <w:r w:rsidR="004F3496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health and wellbeing needs</w:t>
            </w:r>
            <w:r w:rsidR="6C1591CD" w:rsidRPr="130226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</w:p>
        </w:tc>
      </w:tr>
      <w:tr w:rsidR="4E0E18C4" w14:paraId="6474AEF8" w14:textId="77777777" w:rsidTr="130226F8">
        <w:trPr>
          <w:trHeight w:val="300"/>
        </w:trPr>
        <w:tc>
          <w:tcPr>
            <w:tcW w:w="9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60FBB4" w14:textId="194B4E00" w:rsidR="4E0E18C4" w:rsidRDefault="4E0E18C4" w:rsidP="6ACC008F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  <w:p w14:paraId="26792FA9" w14:textId="01ECD82F" w:rsidR="4E0E18C4" w:rsidRDefault="4E0E18C4" w:rsidP="6ACC008F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</w:tc>
      </w:tr>
    </w:tbl>
    <w:p w14:paraId="71AFA92D" w14:textId="276080C6" w:rsidR="4E0E18C4" w:rsidRDefault="4E0E18C4" w:rsidP="6ACC008F">
      <w:pPr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4E0E18C4" w14:paraId="421BC742" w14:textId="77777777" w:rsidTr="130226F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32CE22" w14:textId="3BC9ADFB" w:rsidR="4E0E18C4" w:rsidRPr="00A701BA" w:rsidRDefault="4E0E18C4" w:rsidP="6ACC008F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56537FFD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2.1 Attach evidence </w:t>
            </w:r>
            <w:r w:rsidR="4006D7D1" w:rsidRPr="56537FFD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that staff at all levels and in all circumstances </w:t>
            </w:r>
            <w:r w:rsidR="677783A2" w:rsidRPr="56537FFD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are engaged in the</w:t>
            </w:r>
            <w:r w:rsidR="2BB64EDB" w:rsidRPr="56537FFD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development, deployment and monitoring of the organisation’s </w:t>
            </w:r>
            <w:r w:rsidR="00A701BA" w:rsidRPr="00A701B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Occupational Health </w:t>
            </w:r>
            <w:r w:rsidR="677783A2" w:rsidRPr="56537FFD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strategy.</w:t>
            </w:r>
            <w:r w:rsidR="42E5DC19" w:rsidRPr="56537FFD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(If you are unable to provide links, please email to tick@tickaccreditation.com)</w:t>
            </w:r>
          </w:p>
        </w:tc>
      </w:tr>
      <w:tr w:rsidR="4E0E18C4" w14:paraId="21A3938A" w14:textId="77777777" w:rsidTr="130226F8">
        <w:trPr>
          <w:trHeight w:val="300"/>
        </w:trPr>
        <w:tc>
          <w:tcPr>
            <w:tcW w:w="900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271FAD" w14:textId="67C51C8E" w:rsidR="4E0E18C4" w:rsidRDefault="4E0E18C4" w:rsidP="6ACC008F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</w:tc>
      </w:tr>
      <w:tr w:rsidR="4E0E18C4" w14:paraId="4D8BFF5C" w14:textId="77777777" w:rsidTr="130226F8">
        <w:trPr>
          <w:trHeight w:val="300"/>
        </w:trPr>
        <w:tc>
          <w:tcPr>
            <w:tcW w:w="900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CFCCDC" w14:textId="6123E871" w:rsidR="4E0E18C4" w:rsidRDefault="4E0E18C4" w:rsidP="6ACC008F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6ACC008F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Possible evidence (this list is not exhaustive)</w:t>
            </w:r>
          </w:p>
        </w:tc>
      </w:tr>
      <w:tr w:rsidR="4E0E18C4" w14:paraId="53B20D7F" w14:textId="77777777" w:rsidTr="130226F8">
        <w:trPr>
          <w:trHeight w:val="300"/>
        </w:trPr>
        <w:tc>
          <w:tcPr>
            <w:tcW w:w="9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10EB6F" w14:textId="02A377D1" w:rsidR="4E0E18C4" w:rsidRDefault="7B23E937" w:rsidP="6ACC008F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6ACC008F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Agenda/ minutes</w:t>
            </w:r>
          </w:p>
          <w:p w14:paraId="1CE4BC6C" w14:textId="112E9515" w:rsidR="4E0E18C4" w:rsidRDefault="7B23E937" w:rsidP="6ACC008F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6ACC008F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Strategy document</w:t>
            </w:r>
          </w:p>
          <w:p w14:paraId="7543B05F" w14:textId="63000BBA" w:rsidR="4E0E18C4" w:rsidRDefault="7B23E937" w:rsidP="130226F8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130226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Plan</w:t>
            </w:r>
          </w:p>
        </w:tc>
      </w:tr>
    </w:tbl>
    <w:p w14:paraId="528961DF" w14:textId="378F178C" w:rsidR="4E0E18C4" w:rsidRDefault="4E0E18C4" w:rsidP="6ACC008F">
      <w:pPr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4E0E18C4" w14:paraId="1D780834" w14:textId="77777777" w:rsidTr="6ACC008F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BA3A96" w14:textId="25D9760B" w:rsidR="4E0E18C4" w:rsidRDefault="4E0E18C4" w:rsidP="6ACC008F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6ACC008F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2.2 Give examples of how </w:t>
            </w:r>
            <w:r w:rsidR="5CC7C439" w:rsidRPr="6ACC008F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representatives across the organisation are involved in the development and review of the </w:t>
            </w:r>
            <w:r w:rsidR="00C242D8" w:rsidRPr="00C242D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Occupational Health </w:t>
            </w:r>
            <w:r w:rsidR="5CC7C439" w:rsidRPr="6ACC008F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strategy</w:t>
            </w:r>
            <w:r w:rsidR="4C30ECAE" w:rsidRPr="6ACC008F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</w:p>
        </w:tc>
      </w:tr>
      <w:tr w:rsidR="4E0E18C4" w14:paraId="2A8FEB01" w14:textId="77777777" w:rsidTr="6ACC008F">
        <w:trPr>
          <w:trHeight w:val="300"/>
        </w:trPr>
        <w:tc>
          <w:tcPr>
            <w:tcW w:w="9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417AC2" w14:textId="7D5F57AA" w:rsidR="4E0E18C4" w:rsidRDefault="4E0E18C4" w:rsidP="6ACC008F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  <w:p w14:paraId="6E544B0B" w14:textId="5B7D328D" w:rsidR="4E0E18C4" w:rsidRDefault="4E0E18C4" w:rsidP="6ACC008F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</w:tc>
      </w:tr>
    </w:tbl>
    <w:p w14:paraId="28B950AF" w14:textId="56FF7297" w:rsidR="4E0E18C4" w:rsidRDefault="4E0E18C4" w:rsidP="4E0E18C4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z w:val="56"/>
          <w:szCs w:val="56"/>
        </w:rPr>
      </w:pPr>
    </w:p>
    <w:p w14:paraId="7041FCB8" w14:textId="77777777" w:rsidR="009B369A" w:rsidRPr="009B369A" w:rsidRDefault="009B369A" w:rsidP="009B369A">
      <w:pPr>
        <w:spacing w:after="0" w:line="240" w:lineRule="auto"/>
        <w:contextualSpacing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</w:p>
    <w:p w14:paraId="26E0A955" w14:textId="77777777" w:rsidR="00112D0A" w:rsidRDefault="00112D0A"/>
    <w:sectPr w:rsidR="00112D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4D2A" w14:textId="77777777" w:rsidR="00B2290C" w:rsidRDefault="00B2290C" w:rsidP="009B369A">
      <w:pPr>
        <w:spacing w:after="0" w:line="240" w:lineRule="auto"/>
      </w:pPr>
      <w:r>
        <w:separator/>
      </w:r>
    </w:p>
  </w:endnote>
  <w:endnote w:type="continuationSeparator" w:id="0">
    <w:p w14:paraId="4D4A4845" w14:textId="77777777" w:rsidR="00B2290C" w:rsidRDefault="00B2290C" w:rsidP="009B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7227D6" w14:paraId="64DA1954" w14:textId="77777777" w:rsidTr="3180DFE8">
      <w:trPr>
        <w:trHeight w:val="300"/>
      </w:trPr>
      <w:tc>
        <w:tcPr>
          <w:tcW w:w="3005" w:type="dxa"/>
        </w:tcPr>
        <w:p w14:paraId="19CB3DAF" w14:textId="6E1A0F26" w:rsidR="117227D6" w:rsidRDefault="117227D6" w:rsidP="117227D6">
          <w:pPr>
            <w:pStyle w:val="Header"/>
            <w:ind w:left="-115"/>
          </w:pPr>
        </w:p>
      </w:tc>
      <w:tc>
        <w:tcPr>
          <w:tcW w:w="3005" w:type="dxa"/>
        </w:tcPr>
        <w:p w14:paraId="13C57A4A" w14:textId="3CBEE8ED" w:rsidR="117227D6" w:rsidRDefault="117227D6" w:rsidP="117227D6">
          <w:pPr>
            <w:pStyle w:val="Header"/>
            <w:jc w:val="center"/>
          </w:pPr>
        </w:p>
      </w:tc>
      <w:tc>
        <w:tcPr>
          <w:tcW w:w="3005" w:type="dxa"/>
        </w:tcPr>
        <w:p w14:paraId="02DDB5F7" w14:textId="6A8C84AE" w:rsidR="117227D6" w:rsidRDefault="3180DFE8" w:rsidP="3180DFE8">
          <w:pPr>
            <w:pStyle w:val="Header"/>
            <w:ind w:right="-115"/>
            <w:jc w:val="right"/>
            <w:rPr>
              <w:rFonts w:ascii="Century Gothic" w:eastAsia="Century Gothic" w:hAnsi="Century Gothic" w:cs="Century Gothic"/>
            </w:rPr>
          </w:pPr>
          <w:r w:rsidRPr="3180DFE8">
            <w:rPr>
              <w:rFonts w:ascii="Century Gothic" w:eastAsia="Century Gothic" w:hAnsi="Century Gothic" w:cs="Century Gothic"/>
            </w:rPr>
            <w:t>v4/25</w:t>
          </w:r>
        </w:p>
      </w:tc>
    </w:tr>
  </w:tbl>
  <w:p w14:paraId="298A25D1" w14:textId="79F09DE1" w:rsidR="117227D6" w:rsidRDefault="117227D6" w:rsidP="11722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11B" w14:textId="77777777" w:rsidR="00B2290C" w:rsidRDefault="00B2290C" w:rsidP="009B369A">
      <w:pPr>
        <w:spacing w:after="0" w:line="240" w:lineRule="auto"/>
      </w:pPr>
      <w:r>
        <w:separator/>
      </w:r>
    </w:p>
  </w:footnote>
  <w:footnote w:type="continuationSeparator" w:id="0">
    <w:p w14:paraId="544F225F" w14:textId="77777777" w:rsidR="00B2290C" w:rsidRDefault="00B2290C" w:rsidP="009B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3308" w14:textId="369B7A46" w:rsidR="009B369A" w:rsidRDefault="117227D6" w:rsidP="117227D6">
    <w:pPr>
      <w:jc w:val="center"/>
    </w:pPr>
    <w:r>
      <w:rPr>
        <w:noProof/>
      </w:rPr>
      <w:drawing>
        <wp:inline distT="0" distB="0" distL="0" distR="0" wp14:anchorId="08AEDCE8" wp14:editId="127EDD26">
          <wp:extent cx="952500" cy="952500"/>
          <wp:effectExtent l="0" t="0" r="0" b="0"/>
          <wp:docPr id="1254241296" name="Picture 1254241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1FCB"/>
    <w:multiLevelType w:val="hybridMultilevel"/>
    <w:tmpl w:val="2770704A"/>
    <w:lvl w:ilvl="0" w:tplc="278A3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081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A8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EA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7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23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5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CC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4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06A4"/>
    <w:multiLevelType w:val="hybridMultilevel"/>
    <w:tmpl w:val="6B72822C"/>
    <w:lvl w:ilvl="0" w:tplc="5678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1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46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CA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4F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500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2F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E8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E3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6CABA"/>
    <w:multiLevelType w:val="hybridMultilevel"/>
    <w:tmpl w:val="0D20EA90"/>
    <w:lvl w:ilvl="0" w:tplc="38C8A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A9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6C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A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A3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21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A4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C9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0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508510">
    <w:abstractNumId w:val="1"/>
  </w:num>
  <w:num w:numId="2" w16cid:durableId="1257590854">
    <w:abstractNumId w:val="0"/>
  </w:num>
  <w:num w:numId="3" w16cid:durableId="105974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A"/>
    <w:rsid w:val="000D10A6"/>
    <w:rsid w:val="001016E6"/>
    <w:rsid w:val="00112D0A"/>
    <w:rsid w:val="001404F5"/>
    <w:rsid w:val="001739A1"/>
    <w:rsid w:val="001C4C25"/>
    <w:rsid w:val="001F130C"/>
    <w:rsid w:val="002A13D9"/>
    <w:rsid w:val="003148DE"/>
    <w:rsid w:val="003B5F8C"/>
    <w:rsid w:val="00433907"/>
    <w:rsid w:val="004F3496"/>
    <w:rsid w:val="00526DFA"/>
    <w:rsid w:val="0053592A"/>
    <w:rsid w:val="00607D8B"/>
    <w:rsid w:val="00663BAC"/>
    <w:rsid w:val="006868DF"/>
    <w:rsid w:val="00713E52"/>
    <w:rsid w:val="00784796"/>
    <w:rsid w:val="007F7AE7"/>
    <w:rsid w:val="009B369A"/>
    <w:rsid w:val="00A701BA"/>
    <w:rsid w:val="00A94474"/>
    <w:rsid w:val="00B2290C"/>
    <w:rsid w:val="00B670DF"/>
    <w:rsid w:val="00C242D8"/>
    <w:rsid w:val="00D413C0"/>
    <w:rsid w:val="00D85A87"/>
    <w:rsid w:val="00DA6C8B"/>
    <w:rsid w:val="00DA7F47"/>
    <w:rsid w:val="00DC058B"/>
    <w:rsid w:val="00F020E0"/>
    <w:rsid w:val="00F168D1"/>
    <w:rsid w:val="00F54365"/>
    <w:rsid w:val="02AE9230"/>
    <w:rsid w:val="055D4F32"/>
    <w:rsid w:val="0778EC0D"/>
    <w:rsid w:val="088FBAB5"/>
    <w:rsid w:val="0CDC6CA1"/>
    <w:rsid w:val="117227D6"/>
    <w:rsid w:val="130226F8"/>
    <w:rsid w:val="13A0117A"/>
    <w:rsid w:val="15130FDF"/>
    <w:rsid w:val="1813BCB9"/>
    <w:rsid w:val="1D37E35C"/>
    <w:rsid w:val="200991C7"/>
    <w:rsid w:val="28D9BE84"/>
    <w:rsid w:val="2B2D0502"/>
    <w:rsid w:val="2BB64EDB"/>
    <w:rsid w:val="2D6213C0"/>
    <w:rsid w:val="311761F0"/>
    <w:rsid w:val="3180DFE8"/>
    <w:rsid w:val="3D430229"/>
    <w:rsid w:val="3D4E5807"/>
    <w:rsid w:val="3F3EEB58"/>
    <w:rsid w:val="3F5CE5C6"/>
    <w:rsid w:val="4006D7D1"/>
    <w:rsid w:val="402B57B3"/>
    <w:rsid w:val="41051C9C"/>
    <w:rsid w:val="415BEAF3"/>
    <w:rsid w:val="42E5DC19"/>
    <w:rsid w:val="43296A13"/>
    <w:rsid w:val="45B08227"/>
    <w:rsid w:val="4921B724"/>
    <w:rsid w:val="4C30ECAE"/>
    <w:rsid w:val="4C58551A"/>
    <w:rsid w:val="4DCF3443"/>
    <w:rsid w:val="4E0E18C4"/>
    <w:rsid w:val="561A6B73"/>
    <w:rsid w:val="56537FFD"/>
    <w:rsid w:val="57F7DF8B"/>
    <w:rsid w:val="5CC7C439"/>
    <w:rsid w:val="6368FC64"/>
    <w:rsid w:val="66F8C6E2"/>
    <w:rsid w:val="6717F943"/>
    <w:rsid w:val="677783A2"/>
    <w:rsid w:val="67A52BB1"/>
    <w:rsid w:val="69B7BBB1"/>
    <w:rsid w:val="6ACC008F"/>
    <w:rsid w:val="6C1591CD"/>
    <w:rsid w:val="7226742D"/>
    <w:rsid w:val="7711CB72"/>
    <w:rsid w:val="77D1B13C"/>
    <w:rsid w:val="792FF5DA"/>
    <w:rsid w:val="795EE751"/>
    <w:rsid w:val="7B23E937"/>
    <w:rsid w:val="7C1874A6"/>
    <w:rsid w:val="7FA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AEFF9"/>
  <w15:chartTrackingRefBased/>
  <w15:docId w15:val="{75F1D011-B98F-40F9-B061-BE7A336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9A"/>
  </w:style>
  <w:style w:type="paragraph" w:styleId="Footer">
    <w:name w:val="footer"/>
    <w:basedOn w:val="Normal"/>
    <w:link w:val="Foot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9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1408</Characters>
  <Application>Microsoft Office Word</Application>
  <DocSecurity>0</DocSecurity>
  <Lines>52</Lines>
  <Paragraphs>25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Rathborne</dc:creator>
  <cp:keywords/>
  <dc:description/>
  <cp:lastModifiedBy>Richard Daniel Curtis</cp:lastModifiedBy>
  <cp:revision>24</cp:revision>
  <dcterms:created xsi:type="dcterms:W3CDTF">2024-12-03T12:38:00Z</dcterms:created>
  <dcterms:modified xsi:type="dcterms:W3CDTF">2026-01-06T12:51:00Z</dcterms:modified>
</cp:coreProperties>
</file>