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FB2E1" w14:textId="74A71A19" w:rsidR="009B369A" w:rsidRDefault="00206679" w:rsidP="009B369A">
      <w:pPr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</w:pPr>
      <w:r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  <w:t>Occupational Health</w:t>
      </w:r>
      <w:r w:rsidR="009B369A" w:rsidRPr="009B369A"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  <w:t xml:space="preserve"> Organisational Standards</w:t>
      </w:r>
    </w:p>
    <w:p w14:paraId="07D9B56A" w14:textId="77777777" w:rsidR="009B369A" w:rsidRDefault="009B369A" w:rsidP="009B369A">
      <w:pPr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</w:pPr>
    </w:p>
    <w:p w14:paraId="20F56239" w14:textId="101D636B" w:rsidR="009B369A" w:rsidRDefault="00206679" w:rsidP="009B369A">
      <w:pPr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</w:pPr>
      <w:r w:rsidRPr="00206679"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  <w:t xml:space="preserve">Occupational Health </w:t>
      </w:r>
      <w:r w:rsidR="0C449FD4"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  <w:t xml:space="preserve">Strategy </w:t>
      </w:r>
      <w:r w:rsidR="001404F5"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  <w:t>M</w:t>
      </w:r>
      <w:r w:rsidR="00D85A87"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  <w:t>onitoring</w:t>
      </w:r>
    </w:p>
    <w:p w14:paraId="093CD41B" w14:textId="36BD5095" w:rsidR="009B369A" w:rsidRDefault="3634A1B4" w:rsidP="5CA8BB60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sz w:val="56"/>
          <w:szCs w:val="56"/>
        </w:rPr>
      </w:pPr>
      <w:r w:rsidRPr="5CA8BB60">
        <w:rPr>
          <w:rFonts w:ascii="Century Gothic" w:eastAsia="Century Gothic" w:hAnsi="Century Gothic" w:cs="Century Gothic"/>
          <w:color w:val="000000" w:themeColor="text1"/>
          <w:sz w:val="56"/>
          <w:szCs w:val="56"/>
        </w:rPr>
        <w:t>Evidence Requirements</w:t>
      </w:r>
    </w:p>
    <w:p w14:paraId="35E40D29" w14:textId="2B270803" w:rsidR="009B369A" w:rsidRDefault="009B369A" w:rsidP="5CA8BB60">
      <w:pPr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sz w:val="56"/>
          <w:szCs w:val="56"/>
        </w:rPr>
      </w:pPr>
    </w:p>
    <w:p w14:paraId="2265D485" w14:textId="3A24B1D3" w:rsidR="469B39F1" w:rsidRDefault="6BCADDCB" w:rsidP="36572D35">
      <w:pPr>
        <w:pStyle w:val="ListParagraph"/>
        <w:spacing w:after="0" w:line="240" w:lineRule="auto"/>
        <w:ind w:left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36572D3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T</w:t>
      </w:r>
      <w:r w:rsidR="3634A1B4" w:rsidRPr="36572D3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o achieve accreditation in </w:t>
      </w:r>
      <w:r w:rsidR="5F675837" w:rsidRPr="36572D3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monitoring you</w:t>
      </w:r>
      <w:r w:rsidR="3634A1B4" w:rsidRPr="36572D3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will need to provide evidence that you organisation has robust </w:t>
      </w:r>
      <w:r w:rsidR="6DC94D0F" w:rsidRPr="36572D3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monitoring</w:t>
      </w:r>
      <w:r w:rsidR="3634A1B4" w:rsidRPr="36572D3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 for </w:t>
      </w:r>
      <w:r w:rsidR="00E1772D" w:rsidRPr="00E1772D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Occupational Health</w:t>
      </w:r>
      <w:r w:rsidR="3634A1B4" w:rsidRPr="36572D3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.</w:t>
      </w:r>
    </w:p>
    <w:p w14:paraId="0F8C8490" w14:textId="7EE5897B" w:rsidR="36572D35" w:rsidRDefault="36572D35" w:rsidP="36572D35">
      <w:pPr>
        <w:pStyle w:val="ListParagraph"/>
        <w:spacing w:after="0" w:line="240" w:lineRule="auto"/>
        <w:ind w:left="0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4C380D24" w14:textId="772CB5DA" w:rsidR="6381A92E" w:rsidRDefault="6381A92E" w:rsidP="469B39F1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69B39F1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Minimum evidence requirements:</w:t>
      </w:r>
    </w:p>
    <w:p w14:paraId="38FB4997" w14:textId="19013C70" w:rsidR="469B39F1" w:rsidRDefault="469B39F1" w:rsidP="469B39F1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504C76DC" w14:textId="1AD52EFD" w:rsidR="02E0842E" w:rsidRDefault="02E0842E" w:rsidP="469B39F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69B39F1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All individuals are supported to have an appropriate work – life balance.</w:t>
      </w:r>
    </w:p>
    <w:p w14:paraId="3D7DE732" w14:textId="789AA393" w:rsidR="086B9B12" w:rsidRDefault="086B9B12" w:rsidP="469B39F1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69B39F1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Wellbeing is monitored and data is readily available.</w:t>
      </w:r>
    </w:p>
    <w:p w14:paraId="71E48A6E" w14:textId="09235295" w:rsidR="469B39F1" w:rsidRDefault="469B39F1" w:rsidP="469B39F1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35FCC705" w14:textId="4BD60ED5" w:rsidR="6381A92E" w:rsidRDefault="6381A92E" w:rsidP="469B39F1">
      <w:pPr>
        <w:spacing w:after="0" w:line="240" w:lineRule="auto"/>
        <w:contextualSpacing/>
        <w:jc w:val="center"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469B39F1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>Additional information can be found in guidance document.</w:t>
      </w:r>
    </w:p>
    <w:p w14:paraId="5B3F8BCF" w14:textId="50B51134" w:rsidR="009B369A" w:rsidRDefault="009B369A" w:rsidP="469B39F1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p w14:paraId="57DE3321" w14:textId="1C781F67" w:rsidR="469B39F1" w:rsidRDefault="3154C4C0" w:rsidP="36572D35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  <w:r w:rsidRPr="36572D35"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  <w:t xml:space="preserve">Occupational health can include activities related to the wellbeing of staff, prevention and recovery from health issues at work.  </w:t>
      </w:r>
    </w:p>
    <w:p w14:paraId="7A00F9C8" w14:textId="08C2B4CF" w:rsidR="36572D35" w:rsidRDefault="36572D35" w:rsidP="36572D35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5CA8BB60" w14:paraId="55E87AF4" w14:textId="77777777" w:rsidTr="36572D3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20985801" w14:textId="7DE2F81E" w:rsidR="5CA8BB60" w:rsidRDefault="5CA8BB60" w:rsidP="77A9A11A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1.1 Attach evidence</w:t>
            </w:r>
            <w:r w:rsidR="2E902B26"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that leaders and managers recognise the impact of mental health and wellbeing has on their team(s) and </w:t>
            </w:r>
            <w:r w:rsidR="6FEA581F"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the organisation</w:t>
            </w:r>
            <w:r w:rsidR="0CD74267"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.</w:t>
            </w:r>
            <w:r w:rsidR="2D3A6EDC"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(If you are unable to provide links, please email to tick@tickaccreditation.com)</w:t>
            </w:r>
          </w:p>
        </w:tc>
      </w:tr>
      <w:tr w:rsidR="36572D35" w14:paraId="68F2345E" w14:textId="77777777" w:rsidTr="36572D3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72EE5F69" w14:textId="1FC6AA0C" w:rsidR="36572D35" w:rsidRDefault="36572D35" w:rsidP="36572D35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</w:p>
        </w:tc>
      </w:tr>
      <w:tr w:rsidR="5CA8BB60" w14:paraId="187CEB47" w14:textId="77777777" w:rsidTr="36572D3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CE1E0BB" w14:textId="09F0B358" w:rsidR="5CA8BB60" w:rsidRDefault="5CA8BB60" w:rsidP="469B39F1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Possible evidence (this list is not exhaustive)</w:t>
            </w:r>
          </w:p>
        </w:tc>
      </w:tr>
      <w:tr w:rsidR="5CA8BB60" w14:paraId="19E2EADF" w14:textId="77777777" w:rsidTr="36572D3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5960714" w14:textId="50AD9101" w:rsidR="48ADBF78" w:rsidRDefault="48ADBF78" w:rsidP="469B39F1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Staff survey</w:t>
            </w:r>
          </w:p>
          <w:p w14:paraId="0843881F" w14:textId="609661DF" w:rsidR="48ADBF78" w:rsidRDefault="48ADBF78" w:rsidP="469B39F1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Managers’ survey</w:t>
            </w:r>
          </w:p>
          <w:p w14:paraId="054F946B" w14:textId="42591BEC" w:rsidR="48ADBF78" w:rsidRDefault="48ADBF78" w:rsidP="469B39F1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Appraisal guidance</w:t>
            </w:r>
          </w:p>
          <w:p w14:paraId="49425353" w14:textId="24E6214D" w:rsidR="48ADBF78" w:rsidRDefault="48ADBF78" w:rsidP="469B39F1">
            <w:pPr>
              <w:pStyle w:val="ListParagraph"/>
              <w:numPr>
                <w:ilvl w:val="0"/>
                <w:numId w:val="2"/>
              </w:num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Staff handbook</w:t>
            </w:r>
          </w:p>
          <w:p w14:paraId="5D63D340" w14:textId="6C9170C0" w:rsidR="48ADBF78" w:rsidRDefault="48ADBF78" w:rsidP="469B39F1">
            <w:pPr>
              <w:pStyle w:val="ListParagraph"/>
              <w:numPr>
                <w:ilvl w:val="0"/>
                <w:numId w:val="2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Examples of staff communications</w:t>
            </w:r>
          </w:p>
        </w:tc>
      </w:tr>
    </w:tbl>
    <w:p w14:paraId="49A7E0D7" w14:textId="5D0CAA95" w:rsidR="009B369A" w:rsidRDefault="009B369A" w:rsidP="469B39F1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5CA8BB60" w14:paraId="23005F7D" w14:textId="77777777" w:rsidTr="77A9A11A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374DA492" w14:textId="2B3AE6E7" w:rsidR="5CA8BB60" w:rsidRDefault="5CA8BB60" w:rsidP="77A9A11A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lastRenderedPageBreak/>
              <w:t xml:space="preserve">1.2 </w:t>
            </w:r>
            <w:r w:rsidR="70F74811"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Give examples of how leaders and managers</w:t>
            </w:r>
            <w:r w:rsidR="566C8D06"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recognise and</w:t>
            </w:r>
            <w:r w:rsidR="70F74811"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support all </w:t>
            </w:r>
            <w:r w:rsidR="16955BC2"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individuals'</w:t>
            </w:r>
            <w:r w:rsidR="5418D67F"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</w:t>
            </w:r>
            <w:r w:rsidR="537B90F1"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mental health and wellbeing</w:t>
            </w:r>
            <w:r w:rsidR="567198D7"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.</w:t>
            </w:r>
          </w:p>
        </w:tc>
      </w:tr>
      <w:tr w:rsidR="5CA8BB60" w14:paraId="4E1FA460" w14:textId="77777777" w:rsidTr="77A9A11A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546ACFC3" w14:textId="69159C2C" w:rsidR="5CA8BB60" w:rsidRDefault="5CA8BB60" w:rsidP="469B39F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361FBBA9" w14:textId="4BD3BF07" w:rsidR="5CA8BB60" w:rsidRDefault="5CA8BB60" w:rsidP="469B39F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5DB991A9" w14:textId="583C2E26" w:rsidR="009B369A" w:rsidRDefault="009B369A" w:rsidP="469B39F1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5CA8BB60" w14:paraId="16922438" w14:textId="77777777" w:rsidTr="36572D3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06A602CE" w14:textId="20E8480E" w:rsidR="5CA8BB60" w:rsidRDefault="5CA8BB60" w:rsidP="77A9A11A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2.1 Attach evidence of how mental health and wellbeing strategy is </w:t>
            </w:r>
            <w:r w:rsidR="49E924DD"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monitored across the organisation.</w:t>
            </w:r>
            <w:r w:rsidR="4E4AC011" w:rsidRPr="77A9A11A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 (If you are unable to provide links, please email to tick@tickaccreditation.com)</w:t>
            </w:r>
          </w:p>
        </w:tc>
      </w:tr>
      <w:tr w:rsidR="5CA8BB60" w14:paraId="43BF401A" w14:textId="77777777" w:rsidTr="36572D3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28B988B" w14:textId="3C3F7F34" w:rsidR="5CA8BB60" w:rsidRDefault="5CA8BB60" w:rsidP="469B39F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  <w:tr w:rsidR="5CA8BB60" w14:paraId="10CB7E8C" w14:textId="77777777" w:rsidTr="36572D3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17C40C14" w14:textId="40CD5FD0" w:rsidR="5CA8BB60" w:rsidRDefault="5CA8BB60" w:rsidP="469B39F1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Possible evidence (this list is not exhaustive)</w:t>
            </w:r>
          </w:p>
        </w:tc>
      </w:tr>
      <w:tr w:rsidR="5CA8BB60" w14:paraId="6B9A2E72" w14:textId="77777777" w:rsidTr="36572D35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7F3EA907" w14:textId="7F882C9D" w:rsidR="5CA8BB60" w:rsidRDefault="06603A3F" w:rsidP="469B39F1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Data</w:t>
            </w:r>
          </w:p>
          <w:p w14:paraId="015F77A8" w14:textId="7527AC65" w:rsidR="5CA8BB60" w:rsidRDefault="06603A3F" w:rsidP="469B39F1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Staff surveys</w:t>
            </w:r>
          </w:p>
          <w:p w14:paraId="3A2B792A" w14:textId="30C39A27" w:rsidR="5CA8BB60" w:rsidRDefault="06603A3F" w:rsidP="469B39F1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Strategy review documents</w:t>
            </w:r>
          </w:p>
          <w:p w14:paraId="7F798FE9" w14:textId="565C2EBC" w:rsidR="5CA8BB60" w:rsidRDefault="06603A3F" w:rsidP="469B39F1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Annual reports</w:t>
            </w:r>
          </w:p>
          <w:p w14:paraId="686BAE2F" w14:textId="35604F74" w:rsidR="5CA8BB60" w:rsidRDefault="06603A3F" w:rsidP="36572D35">
            <w:pPr>
              <w:pStyle w:val="ListParagraph"/>
              <w:numPr>
                <w:ilvl w:val="0"/>
                <w:numId w:val="4"/>
              </w:numPr>
              <w:spacing w:line="257" w:lineRule="auto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36572D35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Data from Employee Assistance Programmes/ Occupational Health</w:t>
            </w:r>
          </w:p>
        </w:tc>
      </w:tr>
    </w:tbl>
    <w:p w14:paraId="4401D996" w14:textId="4CA9ABA6" w:rsidR="009B369A" w:rsidRDefault="009B369A" w:rsidP="469B39F1">
      <w:pPr>
        <w:spacing w:after="0" w:line="240" w:lineRule="auto"/>
        <w:contextualSpacing/>
        <w:rPr>
          <w:rFonts w:ascii="Century Gothic" w:eastAsia="Century Gothic" w:hAnsi="Century Gothic" w:cs="Century Gothic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9000"/>
      </w:tblGrid>
      <w:tr w:rsidR="5CA8BB60" w14:paraId="373DEA95" w14:textId="77777777" w:rsidTr="469B39F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E75796C" w14:textId="397C82AE" w:rsidR="5CA8BB60" w:rsidRDefault="5CA8BB60" w:rsidP="469B39F1">
            <w:pP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</w:pPr>
            <w:r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2.2 Give examples of how you ensure that mental health and wellbeing </w:t>
            </w:r>
            <w:r w:rsidR="14A1A66E"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 xml:space="preserve">is monitored across the organisation, including the impact of </w:t>
            </w:r>
            <w:r w:rsidR="7621AA6A"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initiatives</w:t>
            </w:r>
            <w:r w:rsidR="14A1A66E"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, resources, training and services</w:t>
            </w:r>
            <w:r w:rsidR="66549AA1" w:rsidRPr="469B39F1"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</w:rPr>
              <w:t>.</w:t>
            </w:r>
          </w:p>
        </w:tc>
      </w:tr>
      <w:tr w:rsidR="5CA8BB60" w14:paraId="053856FE" w14:textId="77777777" w:rsidTr="469B39F1">
        <w:trPr>
          <w:trHeight w:val="300"/>
        </w:trPr>
        <w:tc>
          <w:tcPr>
            <w:tcW w:w="9000" w:type="dxa"/>
            <w:tcMar>
              <w:left w:w="105" w:type="dxa"/>
              <w:right w:w="105" w:type="dxa"/>
            </w:tcMar>
          </w:tcPr>
          <w:p w14:paraId="6E46E949" w14:textId="055440A0" w:rsidR="5CA8BB60" w:rsidRDefault="5CA8BB60" w:rsidP="469B39F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655B9837" w14:textId="495946BF" w:rsidR="5CA8BB60" w:rsidRDefault="5CA8BB60" w:rsidP="469B39F1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</w:tc>
      </w:tr>
    </w:tbl>
    <w:p w14:paraId="0199CBD9" w14:textId="21D7D39B" w:rsidR="009B369A" w:rsidRDefault="009B369A" w:rsidP="009B369A">
      <w:pPr>
        <w:spacing w:after="0" w:line="240" w:lineRule="auto"/>
        <w:contextualSpacing/>
        <w:jc w:val="center"/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</w:pPr>
    </w:p>
    <w:p w14:paraId="7041FCB8" w14:textId="77777777" w:rsidR="009B369A" w:rsidRPr="009B369A" w:rsidRDefault="009B369A" w:rsidP="009B369A">
      <w:pPr>
        <w:spacing w:after="0" w:line="240" w:lineRule="auto"/>
        <w:contextualSpacing/>
        <w:rPr>
          <w:rFonts w:ascii="Century Gothic" w:eastAsia="Times New Roman" w:hAnsi="Century Gothic" w:cs="Times New Roman"/>
          <w:spacing w:val="-10"/>
          <w:kern w:val="28"/>
          <w:sz w:val="56"/>
          <w:szCs w:val="56"/>
          <w14:ligatures w14:val="none"/>
        </w:rPr>
      </w:pPr>
    </w:p>
    <w:p w14:paraId="26E0A955" w14:textId="77777777" w:rsidR="00112D0A" w:rsidRDefault="00112D0A"/>
    <w:sectPr w:rsidR="00112D0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AFFA0" w14:textId="77777777" w:rsidR="00C0471C" w:rsidRDefault="00C0471C" w:rsidP="009B369A">
      <w:pPr>
        <w:spacing w:after="0" w:line="240" w:lineRule="auto"/>
      </w:pPr>
      <w:r>
        <w:separator/>
      </w:r>
    </w:p>
  </w:endnote>
  <w:endnote w:type="continuationSeparator" w:id="0">
    <w:p w14:paraId="538688D0" w14:textId="77777777" w:rsidR="00C0471C" w:rsidRDefault="00C0471C" w:rsidP="009B3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63892C3" w14:paraId="6301CAFC" w14:textId="77777777" w:rsidTr="432903EE">
      <w:trPr>
        <w:trHeight w:val="300"/>
      </w:trPr>
      <w:tc>
        <w:tcPr>
          <w:tcW w:w="3005" w:type="dxa"/>
        </w:tcPr>
        <w:p w14:paraId="3340AAD6" w14:textId="043A7BA9" w:rsidR="063892C3" w:rsidRDefault="063892C3" w:rsidP="063892C3">
          <w:pPr>
            <w:pStyle w:val="Header"/>
            <w:ind w:left="-115"/>
          </w:pPr>
        </w:p>
      </w:tc>
      <w:tc>
        <w:tcPr>
          <w:tcW w:w="3005" w:type="dxa"/>
        </w:tcPr>
        <w:p w14:paraId="1BE2EEF3" w14:textId="047DF5F3" w:rsidR="063892C3" w:rsidRDefault="063892C3" w:rsidP="063892C3">
          <w:pPr>
            <w:pStyle w:val="Header"/>
            <w:jc w:val="center"/>
          </w:pPr>
        </w:p>
      </w:tc>
      <w:tc>
        <w:tcPr>
          <w:tcW w:w="3005" w:type="dxa"/>
        </w:tcPr>
        <w:p w14:paraId="52C4D2CD" w14:textId="435D2C9A" w:rsidR="063892C3" w:rsidRDefault="432903EE" w:rsidP="432903EE">
          <w:pPr>
            <w:pStyle w:val="Header"/>
            <w:ind w:right="-115"/>
            <w:jc w:val="right"/>
          </w:pPr>
          <w:r w:rsidRPr="432903EE">
            <w:rPr>
              <w:rFonts w:ascii="Century Gothic" w:eastAsia="Century Gothic" w:hAnsi="Century Gothic" w:cs="Century Gothic"/>
              <w:color w:val="000000" w:themeColor="text1"/>
              <w:sz w:val="20"/>
              <w:szCs w:val="20"/>
            </w:rPr>
            <w:t>v4/25</w:t>
          </w:r>
        </w:p>
      </w:tc>
    </w:tr>
  </w:tbl>
  <w:p w14:paraId="2569DF07" w14:textId="1B947190" w:rsidR="063892C3" w:rsidRDefault="063892C3" w:rsidP="06389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83F53" w14:textId="77777777" w:rsidR="00C0471C" w:rsidRDefault="00C0471C" w:rsidP="009B369A">
      <w:pPr>
        <w:spacing w:after="0" w:line="240" w:lineRule="auto"/>
      </w:pPr>
      <w:r>
        <w:separator/>
      </w:r>
    </w:p>
  </w:footnote>
  <w:footnote w:type="continuationSeparator" w:id="0">
    <w:p w14:paraId="78E6BAA7" w14:textId="77777777" w:rsidR="00C0471C" w:rsidRDefault="00C0471C" w:rsidP="009B3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03308" w14:textId="7E4CAA47" w:rsidR="009B369A" w:rsidRDefault="063892C3" w:rsidP="063892C3">
    <w:pPr>
      <w:jc w:val="center"/>
    </w:pPr>
    <w:r>
      <w:rPr>
        <w:noProof/>
      </w:rPr>
      <w:drawing>
        <wp:inline distT="0" distB="0" distL="0" distR="0" wp14:anchorId="1CEAA7CC" wp14:editId="6009B056">
          <wp:extent cx="952500" cy="952500"/>
          <wp:effectExtent l="0" t="0" r="0" b="0"/>
          <wp:docPr id="2144327203" name="Picture 2144327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EB11F"/>
    <w:multiLevelType w:val="hybridMultilevel"/>
    <w:tmpl w:val="5FE682CE"/>
    <w:lvl w:ilvl="0" w:tplc="94C6D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52DA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E84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3092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1CE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20D3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748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0C1E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C818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368C1"/>
    <w:multiLevelType w:val="hybridMultilevel"/>
    <w:tmpl w:val="3D80D9B0"/>
    <w:lvl w:ilvl="0" w:tplc="DC6A4E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26B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9C8A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24A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EC29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8CA2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6E1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4DD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5E98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998AF"/>
    <w:multiLevelType w:val="hybridMultilevel"/>
    <w:tmpl w:val="922651F6"/>
    <w:lvl w:ilvl="0" w:tplc="B122F4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C5A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608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22B3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26B6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2C48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3CE9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85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8C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A32C73"/>
    <w:multiLevelType w:val="hybridMultilevel"/>
    <w:tmpl w:val="5E36D4C8"/>
    <w:lvl w:ilvl="0" w:tplc="8A94D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ECA6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09F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C20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707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4C12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6A9C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C60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161C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5663849">
    <w:abstractNumId w:val="0"/>
  </w:num>
  <w:num w:numId="2" w16cid:durableId="1055197136">
    <w:abstractNumId w:val="2"/>
  </w:num>
  <w:num w:numId="3" w16cid:durableId="776220913">
    <w:abstractNumId w:val="1"/>
  </w:num>
  <w:num w:numId="4" w16cid:durableId="748770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69A"/>
    <w:rsid w:val="000D10A6"/>
    <w:rsid w:val="00112D0A"/>
    <w:rsid w:val="001404F5"/>
    <w:rsid w:val="001739A1"/>
    <w:rsid w:val="001B429D"/>
    <w:rsid w:val="00206679"/>
    <w:rsid w:val="003148DE"/>
    <w:rsid w:val="00526DFA"/>
    <w:rsid w:val="00560E45"/>
    <w:rsid w:val="00663BAC"/>
    <w:rsid w:val="006868DF"/>
    <w:rsid w:val="00783D98"/>
    <w:rsid w:val="00784796"/>
    <w:rsid w:val="009B369A"/>
    <w:rsid w:val="00C0471C"/>
    <w:rsid w:val="00D413C0"/>
    <w:rsid w:val="00D85A87"/>
    <w:rsid w:val="00DA7F47"/>
    <w:rsid w:val="00DC058B"/>
    <w:rsid w:val="00E1772D"/>
    <w:rsid w:val="02E0842E"/>
    <w:rsid w:val="063892C3"/>
    <w:rsid w:val="06603A3F"/>
    <w:rsid w:val="07C98E86"/>
    <w:rsid w:val="086B9B12"/>
    <w:rsid w:val="0AB98660"/>
    <w:rsid w:val="0B4E3A83"/>
    <w:rsid w:val="0C449FD4"/>
    <w:rsid w:val="0CD74267"/>
    <w:rsid w:val="0D08296C"/>
    <w:rsid w:val="0DB7DA96"/>
    <w:rsid w:val="1277DB7F"/>
    <w:rsid w:val="131DD599"/>
    <w:rsid w:val="14A1A66E"/>
    <w:rsid w:val="14A9831B"/>
    <w:rsid w:val="16955BC2"/>
    <w:rsid w:val="1888C3B6"/>
    <w:rsid w:val="19669FF5"/>
    <w:rsid w:val="20C9166D"/>
    <w:rsid w:val="28C3C2C9"/>
    <w:rsid w:val="2A9591F3"/>
    <w:rsid w:val="2ADED6F6"/>
    <w:rsid w:val="2CAD9DE1"/>
    <w:rsid w:val="2D3A6EDC"/>
    <w:rsid w:val="2D983214"/>
    <w:rsid w:val="2E2CFD0E"/>
    <w:rsid w:val="2E902B26"/>
    <w:rsid w:val="3065CE7B"/>
    <w:rsid w:val="3154C4C0"/>
    <w:rsid w:val="327E6259"/>
    <w:rsid w:val="32D1B376"/>
    <w:rsid w:val="3485B41C"/>
    <w:rsid w:val="35A27ACD"/>
    <w:rsid w:val="35C402BA"/>
    <w:rsid w:val="3634A1B4"/>
    <w:rsid w:val="36572D35"/>
    <w:rsid w:val="39BE02F5"/>
    <w:rsid w:val="3F9C3E4C"/>
    <w:rsid w:val="40BB3CC5"/>
    <w:rsid w:val="42351C33"/>
    <w:rsid w:val="432903EE"/>
    <w:rsid w:val="44DB6FFE"/>
    <w:rsid w:val="45945EE3"/>
    <w:rsid w:val="469B39F1"/>
    <w:rsid w:val="4837C9D1"/>
    <w:rsid w:val="48ADBF78"/>
    <w:rsid w:val="48C6A0F6"/>
    <w:rsid w:val="49913E71"/>
    <w:rsid w:val="49E924DD"/>
    <w:rsid w:val="4A67FAF7"/>
    <w:rsid w:val="4C8B8846"/>
    <w:rsid w:val="4D295131"/>
    <w:rsid w:val="4DDA329F"/>
    <w:rsid w:val="4E4AC011"/>
    <w:rsid w:val="4FBA8C3A"/>
    <w:rsid w:val="51B271B8"/>
    <w:rsid w:val="537B90F1"/>
    <w:rsid w:val="5418D67F"/>
    <w:rsid w:val="55EDF411"/>
    <w:rsid w:val="566C8D06"/>
    <w:rsid w:val="567198D7"/>
    <w:rsid w:val="58054E16"/>
    <w:rsid w:val="58123C25"/>
    <w:rsid w:val="59BFF6CF"/>
    <w:rsid w:val="5C45AF93"/>
    <w:rsid w:val="5CA8BB60"/>
    <w:rsid w:val="5F675837"/>
    <w:rsid w:val="6381A92E"/>
    <w:rsid w:val="66549AA1"/>
    <w:rsid w:val="67AE3617"/>
    <w:rsid w:val="6BCADDCB"/>
    <w:rsid w:val="6DC94D0F"/>
    <w:rsid w:val="6FEA581F"/>
    <w:rsid w:val="70BD6932"/>
    <w:rsid w:val="70F74811"/>
    <w:rsid w:val="726353AA"/>
    <w:rsid w:val="72B0C09B"/>
    <w:rsid w:val="74A4FDF4"/>
    <w:rsid w:val="74C05052"/>
    <w:rsid w:val="74C3EA06"/>
    <w:rsid w:val="7621AA6A"/>
    <w:rsid w:val="77438742"/>
    <w:rsid w:val="77A9A11A"/>
    <w:rsid w:val="77DCBA86"/>
    <w:rsid w:val="782160D2"/>
    <w:rsid w:val="78D270D1"/>
    <w:rsid w:val="7C68CD42"/>
    <w:rsid w:val="7CF79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5AEFF9"/>
  <w15:chartTrackingRefBased/>
  <w15:docId w15:val="{75F1D011-B98F-40F9-B061-BE7A3363F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3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3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3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3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3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3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3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3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3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3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3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6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36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36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36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36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36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3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3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3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3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3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36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36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36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3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36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36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69A"/>
  </w:style>
  <w:style w:type="paragraph" w:styleId="Footer">
    <w:name w:val="footer"/>
    <w:basedOn w:val="Normal"/>
    <w:link w:val="FooterChar"/>
    <w:uiPriority w:val="99"/>
    <w:unhideWhenUsed/>
    <w:rsid w:val="009B36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69A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1404</Characters>
  <Application>Microsoft Office Word</Application>
  <DocSecurity>0</DocSecurity>
  <Lines>52</Lines>
  <Paragraphs>25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Rathborne</dc:creator>
  <cp:keywords/>
  <dc:description/>
  <cp:lastModifiedBy>Richard Daniel Curtis</cp:lastModifiedBy>
  <cp:revision>17</cp:revision>
  <dcterms:created xsi:type="dcterms:W3CDTF">2024-12-03T12:34:00Z</dcterms:created>
  <dcterms:modified xsi:type="dcterms:W3CDTF">2026-01-06T13:36:00Z</dcterms:modified>
</cp:coreProperties>
</file>