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69A" w:rsidP="177B0A7C" w:rsidRDefault="009B369A" w14:paraId="733FB2E1" w14:textId="45994808">
      <w:pPr>
        <w:spacing w:after="0" w:line="240" w:lineRule="auto"/>
        <w:contextualSpacing w:val="1"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  <w:r w:rsidRPr="177B0A7C" w:rsidR="0008DD59">
        <w:rPr>
          <w:rFonts w:ascii="Century Gothic" w:hAnsi="Century Gothic" w:eastAsia="Times New Roman" w:cs="Times New Roman"/>
          <w:sz w:val="56"/>
          <w:szCs w:val="56"/>
        </w:rPr>
        <w:t>Occupational Health</w:t>
      </w:r>
      <w:r w:rsidRPr="177B0A7C" w:rsidR="009B369A">
        <w:rPr>
          <w:rFonts w:ascii="Century Gothic" w:hAnsi="Century Gothic" w:eastAsia="Times New Roman" w:cs="Times New Roman"/>
          <w:sz w:val="56"/>
          <w:szCs w:val="56"/>
        </w:rPr>
        <w:t xml:space="preserve"> Organisational Standards</w:t>
      </w:r>
    </w:p>
    <w:p w:rsidR="009B369A" w:rsidP="009B369A" w:rsidRDefault="009B369A" w14:paraId="07D9B56A" w14:textId="77777777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</w:p>
    <w:p w:rsidR="009B369A" w:rsidP="177B0A7C" w:rsidRDefault="009B369A" w14:paraId="20F56239" w14:textId="624EBFCB">
      <w:pPr>
        <w:spacing w:after="0" w:line="240" w:lineRule="auto"/>
        <w:contextualSpacing w:val="1"/>
        <w:jc w:val="center"/>
        <w:rPr>
          <w:rFonts w:ascii="Century Gothic" w:hAnsi="Century Gothic" w:eastAsia="Times New Roman" w:cs="Times New Roman"/>
          <w:spacing w:val="-10"/>
          <w:kern w:val="28"/>
          <w:sz w:val="56"/>
          <w:szCs w:val="56"/>
          <w14:ligatures w14:val="none"/>
        </w:rPr>
      </w:pPr>
      <w:r w:rsidRPr="177B0A7C" w:rsidR="5A6C25A2">
        <w:rPr>
          <w:rFonts w:ascii="Century Gothic" w:hAnsi="Century Gothic" w:eastAsia="Times New Roman" w:cs="Times New Roman"/>
          <w:sz w:val="56"/>
          <w:szCs w:val="56"/>
        </w:rPr>
        <w:t>Occupational Health</w:t>
      </w:r>
      <w:r w:rsidRPr="177B0A7C" w:rsidR="226675A2">
        <w:rPr>
          <w:rFonts w:ascii="Century Gothic" w:hAnsi="Century Gothic" w:eastAsia="Times New Roman" w:cs="Times New Roman"/>
          <w:sz w:val="56"/>
          <w:szCs w:val="56"/>
        </w:rPr>
        <w:t xml:space="preserve"> </w:t>
      </w:r>
      <w:r w:rsidRPr="177B0A7C" w:rsidR="009B369A">
        <w:rPr>
          <w:rFonts w:ascii="Century Gothic" w:hAnsi="Century Gothic" w:eastAsia="Times New Roman" w:cs="Times New Roman"/>
          <w:sz w:val="56"/>
          <w:szCs w:val="56"/>
        </w:rPr>
        <w:t>Strategic Vision</w:t>
      </w:r>
    </w:p>
    <w:p w:rsidR="009B369A" w:rsidP="69C3D3A5" w:rsidRDefault="009B369A" w14:paraId="69A7A25E" w14:textId="583053E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/>
        <w:jc w:val="center"/>
      </w:pPr>
      <w:r w:rsidRPr="65620AF2" w:rsidR="599231DD">
        <w:rPr>
          <w:rFonts w:ascii="Century Gothic" w:hAnsi="Century Gothic" w:eastAsia="Times New Roman" w:cs="Times New Roman"/>
          <w:sz w:val="56"/>
          <w:szCs w:val="56"/>
        </w:rPr>
        <w:t>Evidence Requirements</w:t>
      </w:r>
    </w:p>
    <w:p w:rsidR="009B369A" w:rsidP="69C3D3A5" w:rsidRDefault="009B369A" w14:paraId="7BEAE79F" w14:textId="148E2180">
      <w:pPr>
        <w:spacing w:after="0" w:line="240" w:lineRule="auto"/>
        <w:contextualSpacing/>
        <w:jc w:val="center"/>
        <w:rPr>
          <w:rFonts w:ascii="Century Gothic" w:hAnsi="Century Gothic" w:eastAsia="Times New Roman" w:cs="Times New Roman"/>
          <w:sz w:val="56"/>
          <w:szCs w:val="56"/>
        </w:rPr>
      </w:pPr>
    </w:p>
    <w:p w:rsidR="65620AF2" w:rsidP="177B0A7C" w:rsidRDefault="65620AF2" w14:paraId="3C549784" w14:textId="2ECD7C79">
      <w:pPr>
        <w:pStyle w:val="Normal"/>
        <w:spacing w:after="0" w:line="240" w:lineRule="auto"/>
        <w:contextualSpacing w:val="1"/>
        <w:jc w:val="left"/>
        <w:rPr>
          <w:rFonts w:ascii="Century Gothic" w:hAnsi="Century Gothic" w:eastAsia="Times New Roman" w:cs="Times New Roman"/>
          <w:sz w:val="24"/>
          <w:szCs w:val="24"/>
        </w:rPr>
      </w:pPr>
      <w:r w:rsidRPr="177B0A7C" w:rsidR="31EB5420">
        <w:rPr>
          <w:rFonts w:ascii="Century Gothic" w:hAnsi="Century Gothic" w:eastAsia="Times New Roman" w:cs="Times New Roman"/>
          <w:sz w:val="24"/>
          <w:szCs w:val="24"/>
        </w:rPr>
        <w:t>To achieve accreditation in strategic vision you will need to provide evidence that you organisation has a ro</w:t>
      </w:r>
      <w:r w:rsidRPr="177B0A7C" w:rsidR="77E0856E">
        <w:rPr>
          <w:rFonts w:ascii="Century Gothic" w:hAnsi="Century Gothic" w:eastAsia="Times New Roman" w:cs="Times New Roman"/>
          <w:sz w:val="24"/>
          <w:szCs w:val="24"/>
        </w:rPr>
        <w:t>bust</w:t>
      </w:r>
      <w:r w:rsidRPr="177B0A7C" w:rsidR="31EB5420">
        <w:rPr>
          <w:rFonts w:ascii="Century Gothic" w:hAnsi="Century Gothic" w:eastAsia="Times New Roman" w:cs="Times New Roman"/>
          <w:sz w:val="24"/>
          <w:szCs w:val="24"/>
        </w:rPr>
        <w:t xml:space="preserve"> st</w:t>
      </w:r>
      <w:r w:rsidRPr="177B0A7C" w:rsidR="5C084F53">
        <w:rPr>
          <w:rFonts w:ascii="Century Gothic" w:hAnsi="Century Gothic" w:eastAsia="Times New Roman" w:cs="Times New Roman"/>
          <w:sz w:val="24"/>
          <w:szCs w:val="24"/>
        </w:rPr>
        <w:t xml:space="preserve">rategic vision </w:t>
      </w:r>
      <w:r w:rsidRPr="177B0A7C" w:rsidR="31EB5420">
        <w:rPr>
          <w:rFonts w:ascii="Century Gothic" w:hAnsi="Century Gothic" w:eastAsia="Times New Roman" w:cs="Times New Roman"/>
          <w:sz w:val="24"/>
          <w:szCs w:val="24"/>
        </w:rPr>
        <w:t xml:space="preserve">for </w:t>
      </w:r>
      <w:r w:rsidRPr="177B0A7C" w:rsidR="52E9E118">
        <w:rPr>
          <w:rFonts w:ascii="Century Gothic" w:hAnsi="Century Gothic" w:eastAsia="Times New Roman" w:cs="Times New Roman"/>
          <w:sz w:val="24"/>
          <w:szCs w:val="24"/>
        </w:rPr>
        <w:t>occupational health</w:t>
      </w:r>
      <w:r w:rsidRPr="177B0A7C" w:rsidR="31EB5420">
        <w:rPr>
          <w:rFonts w:ascii="Century Gothic" w:hAnsi="Century Gothic" w:eastAsia="Times New Roman" w:cs="Times New Roman"/>
          <w:sz w:val="24"/>
          <w:szCs w:val="24"/>
        </w:rPr>
        <w:t>.</w:t>
      </w:r>
    </w:p>
    <w:p w:rsidR="35C64CBA" w:rsidP="35C64CBA" w:rsidRDefault="35C64CBA" w14:paraId="179DAB87" w14:textId="395F42F8">
      <w:pPr>
        <w:pStyle w:val="Normal"/>
        <w:spacing w:after="0" w:line="240" w:lineRule="auto"/>
        <w:contextualSpacing/>
        <w:jc w:val="left"/>
        <w:rPr>
          <w:rFonts w:ascii="Century Gothic" w:hAnsi="Century Gothic" w:eastAsia="Times New Roman" w:cs="Times New Roman"/>
          <w:sz w:val="24"/>
          <w:szCs w:val="24"/>
        </w:rPr>
      </w:pPr>
    </w:p>
    <w:p w:rsidR="0F595447" w:rsidP="65620AF2" w:rsidRDefault="0F595447" w14:paraId="4D0257B9" w14:textId="207ED92E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65620AF2" w:rsidR="0F59544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Minimum evidence requirements:</w:t>
      </w:r>
    </w:p>
    <w:p w:rsidR="65620AF2" w:rsidP="65620AF2" w:rsidRDefault="65620AF2" w14:paraId="41B025E6" w14:textId="044B7618">
      <w:pPr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F595447" w:rsidP="177B0A7C" w:rsidRDefault="0F595447" w14:paraId="75037595" w14:textId="514FA1E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77B0A7C" w:rsidR="0F59544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Organisation-wide </w:t>
      </w:r>
      <w:r w:rsidRPr="177B0A7C" w:rsidR="71CCB4A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Occupational Health</w:t>
      </w:r>
      <w:r w:rsidRPr="177B0A7C" w:rsidR="3654EB2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177B0A7C" w:rsidR="4463CD9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strateg</w:t>
      </w:r>
      <w:r w:rsidRPr="177B0A7C" w:rsidR="6779EC4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</w:t>
      </w:r>
      <w:r w:rsidRPr="177B0A7C" w:rsidR="3654EB2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7F0D57D4" w:rsidP="177B0A7C" w:rsidRDefault="7F0D57D4" w14:paraId="6723628A" w14:textId="4FF3DB8F">
      <w:pPr>
        <w:pStyle w:val="ListParagraph"/>
        <w:numPr>
          <w:ilvl w:val="0"/>
          <w:numId w:val="2"/>
        </w:numPr>
        <w:spacing w:after="0" w:line="240" w:lineRule="auto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177B0A7C" w:rsidR="7F0D57D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Statement is referenced in policies</w:t>
      </w:r>
      <w:r w:rsidRPr="177B0A7C" w:rsidR="4B52987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</w:t>
      </w:r>
      <w:r w:rsidRPr="177B0A7C" w:rsidR="7F0D57D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such as </w:t>
      </w:r>
      <w:r w:rsidRPr="177B0A7C" w:rsidR="3DC8996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health and safety, absence</w:t>
      </w:r>
      <w:r w:rsidRPr="177B0A7C" w:rsidR="7CF1713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, performance management</w:t>
      </w:r>
      <w:r w:rsidRPr="177B0A7C" w:rsidR="458D63A9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</w:p>
    <w:p w:rsidR="65620AF2" w:rsidP="65620AF2" w:rsidRDefault="65620AF2" w14:paraId="30D9E4EF" w14:textId="7824AADE">
      <w:pPr>
        <w:spacing w:after="0" w:line="240" w:lineRule="auto"/>
        <w:contextualSpacing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F595447" w:rsidP="65620AF2" w:rsidRDefault="0F595447" w14:paraId="0CA9CF1B" w14:textId="2E4DD1D5">
      <w:pPr>
        <w:spacing w:after="0" w:line="240" w:lineRule="auto"/>
        <w:contextualSpacing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65620AF2" w:rsidR="0F59544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Additional</w:t>
      </w:r>
      <w:r w:rsidRPr="65620AF2" w:rsidR="0F59544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information can be found in guidance document.</w:t>
      </w:r>
    </w:p>
    <w:p w:rsidR="65620AF2" w:rsidP="35C64CBA" w:rsidRDefault="65620AF2" w14:paraId="1DA47A8E" w14:textId="31355A3E">
      <w:pPr>
        <w:spacing w:after="0" w:line="240" w:lineRule="auto"/>
        <w:contextualSpacing/>
        <w:rPr>
          <w:rFonts w:ascii="Century Gothic" w:hAnsi="Century Gothic" w:eastAsia="Times New Roman" w:cs="Times New Roman"/>
          <w:sz w:val="24"/>
          <w:szCs w:val="24"/>
        </w:rPr>
      </w:pPr>
    </w:p>
    <w:p w:rsidR="7BD2904A" w:rsidP="35C64CBA" w:rsidRDefault="7BD2904A" w14:paraId="311BE4C0" w14:textId="27142939">
      <w:pPr>
        <w:spacing w:after="0" w:line="240" w:lineRule="auto"/>
        <w:contextualSpacing/>
        <w:rPr>
          <w:rFonts w:ascii="Century Gothic" w:hAnsi="Century Gothic" w:eastAsia="Times New Roman" w:cs="Times New Roman"/>
          <w:sz w:val="24"/>
          <w:szCs w:val="24"/>
        </w:rPr>
      </w:pPr>
      <w:r w:rsidRPr="35C64CBA" w:rsidR="7BD2904A">
        <w:rPr>
          <w:rFonts w:ascii="Century Gothic" w:hAnsi="Century Gothic" w:eastAsia="Times New Roman" w:cs="Times New Roman"/>
          <w:sz w:val="24"/>
          <w:szCs w:val="24"/>
        </w:rPr>
        <w:t xml:space="preserve">Occupational health can include activities related to the wellbeing of staff, prevention and recovery from health issues at work.  </w:t>
      </w:r>
    </w:p>
    <w:p w:rsidR="35C64CBA" w:rsidP="35C64CBA" w:rsidRDefault="35C64CBA" w14:paraId="51D6ED92" w14:textId="6CD8E3B0">
      <w:pPr>
        <w:spacing w:after="0" w:line="240" w:lineRule="auto"/>
        <w:contextualSpacing/>
        <w:rPr>
          <w:rFonts w:ascii="Century Gothic" w:hAnsi="Century Gothic"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9C3D3A5" w:rsidTr="177B0A7C" w14:paraId="26D66405">
        <w:trPr>
          <w:trHeight w:val="300"/>
        </w:trPr>
        <w:tc>
          <w:tcPr>
            <w:tcW w:w="9015" w:type="dxa"/>
            <w:tcMar/>
          </w:tcPr>
          <w:p w:rsidR="69C3D3A5" w:rsidP="177B0A7C" w:rsidRDefault="69C3D3A5" w14:paraId="219D91A3" w14:textId="22FA4B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7B0A7C" w:rsidR="7BC791B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1.1 </w:t>
            </w:r>
            <w:r w:rsidRPr="177B0A7C" w:rsidR="2258AE6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Attach</w:t>
            </w:r>
            <w:r w:rsidRPr="177B0A7C" w:rsidR="7BC791B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evidence of your organisation’s strategy for </w:t>
            </w:r>
            <w:r w:rsidRPr="177B0A7C" w:rsidR="0D079EB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Occupational Health</w:t>
            </w:r>
            <w:r w:rsidRPr="177B0A7C" w:rsidR="258E116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77B0A7C" w:rsidR="258E116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(up to 3</w:t>
            </w:r>
            <w:r w:rsidRPr="177B0A7C" w:rsidR="258E116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</w:t>
            </w:r>
            <w:r w:rsidRPr="177B0A7C" w:rsidR="3A5AB55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(If you are unable to provide links, please email to tick@tickaccreditation.com)  </w:t>
            </w:r>
          </w:p>
        </w:tc>
      </w:tr>
      <w:tr w:rsidR="69C3D3A5" w:rsidTr="177B0A7C" w14:paraId="0879D98E">
        <w:trPr>
          <w:trHeight w:val="300"/>
        </w:trPr>
        <w:tc>
          <w:tcPr>
            <w:tcW w:w="9015" w:type="dxa"/>
            <w:tcMar/>
          </w:tcPr>
          <w:p w:rsidR="69C3D3A5" w:rsidP="65620AF2" w:rsidRDefault="69C3D3A5" w14:paraId="4B773A42" w14:textId="7CF553CB">
            <w:pPr>
              <w:pStyle w:val="Normal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69C3D3A5" w:rsidTr="177B0A7C" w14:paraId="610D2101">
        <w:trPr>
          <w:trHeight w:val="300"/>
        </w:trPr>
        <w:tc>
          <w:tcPr>
            <w:tcW w:w="9015" w:type="dxa"/>
            <w:tcMar/>
          </w:tcPr>
          <w:p w:rsidR="28602C1E" w:rsidP="65620AF2" w:rsidRDefault="28602C1E" w14:paraId="3FD9B7B5" w14:textId="03D146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273CE4A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Possible evidence</w:t>
            </w:r>
            <w:r w:rsidRPr="65620AF2" w:rsidR="273CE4A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5620AF2" w:rsidR="273CE4A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(this</w:t>
            </w:r>
            <w:r w:rsidRPr="65620AF2" w:rsidR="273CE4A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list is not exhaustive)</w:t>
            </w:r>
          </w:p>
        </w:tc>
      </w:tr>
      <w:tr w:rsidR="69C3D3A5" w:rsidTr="177B0A7C" w14:paraId="7AB5499A">
        <w:trPr>
          <w:trHeight w:val="300"/>
        </w:trPr>
        <w:tc>
          <w:tcPr>
            <w:tcW w:w="9015" w:type="dxa"/>
            <w:tcMar/>
          </w:tcPr>
          <w:p w:rsidR="28602C1E" w:rsidP="65620AF2" w:rsidRDefault="28602C1E" w14:paraId="30D02BE8" w14:textId="77DF25D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360" w:right="0" w:hanging="36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273CE4A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Website screenshot</w:t>
            </w:r>
          </w:p>
          <w:p w:rsidR="28602C1E" w:rsidP="65620AF2" w:rsidRDefault="28602C1E" w14:paraId="224E81CE" w14:textId="5316FD3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360" w:right="0" w:hanging="36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273CE4A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Statement/policy</w:t>
            </w:r>
          </w:p>
          <w:p w:rsidR="28602C1E" w:rsidP="65620AF2" w:rsidRDefault="28602C1E" w14:paraId="722DDA8A" w14:textId="7F57B1D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360" w:right="0" w:hanging="36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273CE4A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Annual reports</w:t>
            </w:r>
          </w:p>
          <w:p w:rsidR="28602C1E" w:rsidP="65620AF2" w:rsidRDefault="28602C1E" w14:paraId="5AF60209" w14:textId="661A3E1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360" w:right="0" w:hanging="36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273CE4A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Staff handbook</w:t>
            </w:r>
          </w:p>
        </w:tc>
      </w:tr>
    </w:tbl>
    <w:p w:rsidR="00112D0A" w:rsidP="65620AF2" w:rsidRDefault="00112D0A" w14:paraId="26E0A955" w14:textId="51140EA2">
      <w:pPr>
        <w:rPr>
          <w:rFonts w:ascii="Century Gothic" w:hAnsi="Century Gothic" w:eastAsia="Century Gothic" w:cs="Century Gothic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4AD7CB09" w:rsidTr="177B0A7C" w14:paraId="037AFE79">
        <w:trPr>
          <w:trHeight w:val="300"/>
        </w:trPr>
        <w:tc>
          <w:tcPr>
            <w:tcW w:w="9015" w:type="dxa"/>
            <w:tcMar/>
          </w:tcPr>
          <w:p w:rsidR="4AD7CB09" w:rsidP="177B0A7C" w:rsidRDefault="4AD7CB09" w14:paraId="7FCA7506" w14:textId="5A5701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7B0A7C" w:rsidR="293DB0E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1.</w:t>
            </w:r>
            <w:r w:rsidRPr="177B0A7C" w:rsidR="08B2D47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</w:t>
            </w:r>
            <w:r w:rsidRPr="177B0A7C" w:rsidR="293DB0E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77B0A7C" w:rsidR="4C6E348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Describe how you implement </w:t>
            </w:r>
            <w:r w:rsidRPr="177B0A7C" w:rsidR="45F3A5A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Occupational Health</w:t>
            </w:r>
            <w:r w:rsidRPr="177B0A7C" w:rsidR="4C6E348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strategy, such as </w:t>
            </w:r>
            <w:r w:rsidRPr="177B0A7C" w:rsidR="49547A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review and monitoring.</w:t>
            </w:r>
          </w:p>
        </w:tc>
      </w:tr>
      <w:tr w:rsidR="4AD7CB09" w:rsidTr="177B0A7C" w14:paraId="29A4342B">
        <w:trPr>
          <w:trHeight w:val="300"/>
        </w:trPr>
        <w:tc>
          <w:tcPr>
            <w:tcW w:w="9015" w:type="dxa"/>
            <w:tcMar/>
          </w:tcPr>
          <w:p w:rsidR="4AD7CB09" w:rsidP="65620AF2" w:rsidRDefault="4AD7CB09" w14:paraId="3920C4A8" w14:textId="53096B51">
            <w:pPr>
              <w:pStyle w:val="Normal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  <w:p w:rsidR="4AD7CB09" w:rsidP="65620AF2" w:rsidRDefault="4AD7CB09" w14:paraId="31ED650C" w14:textId="42931AF3">
            <w:pPr>
              <w:pStyle w:val="Normal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</w:tbl>
    <w:p w:rsidR="69C3D3A5" w:rsidP="65620AF2" w:rsidRDefault="69C3D3A5" w14:paraId="5A394EA7" w14:textId="7C9B53F9">
      <w:pPr>
        <w:rPr>
          <w:rFonts w:ascii="Century Gothic" w:hAnsi="Century Gothic" w:eastAsia="Century Gothic" w:cs="Century Gothic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9C3D3A5" w:rsidTr="177B0A7C" w14:paraId="0FE7E724">
        <w:trPr>
          <w:trHeight w:val="300"/>
        </w:trPr>
        <w:tc>
          <w:tcPr>
            <w:tcW w:w="9015" w:type="dxa"/>
            <w:tcMar/>
          </w:tcPr>
          <w:p w:rsidR="69C3D3A5" w:rsidP="177B0A7C" w:rsidRDefault="69C3D3A5" w14:paraId="25A9D371" w14:textId="758D3C78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7B0A7C" w:rsidR="50C72C2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2.</w:t>
            </w:r>
            <w:r w:rsidRPr="177B0A7C" w:rsidR="59961A4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</w:t>
            </w:r>
            <w:r w:rsidRPr="177B0A7C" w:rsidR="50C72C2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77B0A7C" w:rsidR="4ABF267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Attach </w:t>
            </w:r>
            <w:r w:rsidRPr="177B0A7C" w:rsidR="59081C5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evidence </w:t>
            </w:r>
            <w:r w:rsidRPr="177B0A7C" w:rsidR="59081C5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of how</w:t>
            </w:r>
            <w:r w:rsidRPr="177B0A7C" w:rsidR="50C72C2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77B0A7C" w:rsidR="5E1FF6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occupational health</w:t>
            </w:r>
            <w:r w:rsidRPr="177B0A7C" w:rsidR="50C72C2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strategy is embedded and referenced across other key policies and procedures</w:t>
            </w:r>
            <w:r w:rsidRPr="177B0A7C" w:rsidR="6160E14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such as </w:t>
            </w:r>
            <w:r w:rsidRPr="177B0A7C" w:rsidR="6E323BF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health and safety, absence, or performance management</w:t>
            </w:r>
            <w:r w:rsidRPr="177B0A7C" w:rsidR="3E94979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77B0A7C" w:rsidR="3E94979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(</w:t>
            </w:r>
            <w:r w:rsidRPr="177B0A7C" w:rsidR="6E4B009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up to 5)</w:t>
            </w:r>
            <w:r w:rsidRPr="177B0A7C" w:rsidR="073F6AD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  <w:r w:rsidRPr="177B0A7C" w:rsidR="6178A29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(If you are unable to provide links, please email to tick@tickaccreditation.com)  </w:t>
            </w:r>
          </w:p>
        </w:tc>
      </w:tr>
      <w:tr w:rsidR="69C3D3A5" w:rsidTr="177B0A7C" w14:paraId="71287FE5">
        <w:trPr>
          <w:trHeight w:val="300"/>
        </w:trPr>
        <w:tc>
          <w:tcPr>
            <w:tcW w:w="9015" w:type="dxa"/>
            <w:tcMar/>
          </w:tcPr>
          <w:p w:rsidR="69C3D3A5" w:rsidP="65620AF2" w:rsidRDefault="69C3D3A5" w14:paraId="1D8317F4" w14:textId="7CF553CB">
            <w:pPr>
              <w:pStyle w:val="Normal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69C3D3A5" w:rsidTr="177B0A7C" w14:paraId="40135F2F">
        <w:trPr>
          <w:trHeight w:val="300"/>
        </w:trPr>
        <w:tc>
          <w:tcPr>
            <w:tcW w:w="9015" w:type="dxa"/>
            <w:tcMar/>
          </w:tcPr>
          <w:p w:rsidR="69C3D3A5" w:rsidP="65620AF2" w:rsidRDefault="69C3D3A5" w14:paraId="48D7265E" w14:textId="03D146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2DACB3C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Possible evidence</w:t>
            </w:r>
            <w:r w:rsidRPr="65620AF2" w:rsidR="2DACB3C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5620AF2" w:rsidR="2DACB3C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(this</w:t>
            </w:r>
            <w:r w:rsidRPr="65620AF2" w:rsidR="2DACB3C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list is not exhaustive)</w:t>
            </w:r>
          </w:p>
        </w:tc>
      </w:tr>
      <w:tr w:rsidR="69C3D3A5" w:rsidTr="177B0A7C" w14:paraId="62CF34C7">
        <w:trPr>
          <w:trHeight w:val="300"/>
        </w:trPr>
        <w:tc>
          <w:tcPr>
            <w:tcW w:w="9015" w:type="dxa"/>
            <w:tcMar/>
          </w:tcPr>
          <w:p w:rsidR="20D0EFCC" w:rsidP="65620AF2" w:rsidRDefault="20D0EFCC" w14:paraId="0F83798F" w14:textId="632C9FD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left="360" w:right="0" w:hanging="36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580A5E7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Policies</w:t>
            </w:r>
          </w:p>
          <w:p w:rsidR="20D0EFCC" w:rsidP="65620AF2" w:rsidRDefault="20D0EFCC" w14:paraId="0CBB1C68" w14:textId="1861ADA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580A5E7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Procedures</w:t>
            </w:r>
          </w:p>
          <w:p w:rsidR="20D0EFCC" w:rsidP="65620AF2" w:rsidRDefault="20D0EFCC" w14:paraId="1B2AF9B6" w14:textId="3DE4B0DF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7" w:lineRule="auto"/>
              <w:ind w:left="360" w:right="0" w:hanging="36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5620AF2" w:rsidR="580A5E7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Guidance for producing policies / procedures</w:t>
            </w:r>
          </w:p>
        </w:tc>
      </w:tr>
    </w:tbl>
    <w:p w:rsidR="69C3D3A5" w:rsidP="65620AF2" w:rsidRDefault="69C3D3A5" w14:paraId="49C5602F" w14:textId="247E46AE">
      <w:pPr>
        <w:rPr>
          <w:rFonts w:ascii="Century Gothic" w:hAnsi="Century Gothic" w:eastAsia="Century Gothic" w:cs="Century Gothic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4AD7CB09" w:rsidTr="177B0A7C" w14:paraId="1FCC9A57">
        <w:trPr>
          <w:trHeight w:val="300"/>
        </w:trPr>
        <w:tc>
          <w:tcPr>
            <w:tcW w:w="9015" w:type="dxa"/>
            <w:tcMar/>
          </w:tcPr>
          <w:p w:rsidR="4AD7CB09" w:rsidP="177B0A7C" w:rsidRDefault="4AD7CB09" w14:paraId="70B32DBB" w14:textId="7278F4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77B0A7C" w:rsidR="0AC4954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2.2 </w:t>
            </w:r>
            <w:r w:rsidRPr="177B0A7C" w:rsidR="5AB6C7E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Give examples of </w:t>
            </w:r>
            <w:r w:rsidRPr="177B0A7C" w:rsidR="5AB6C7E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how you</w:t>
            </w:r>
            <w:r w:rsidRPr="177B0A7C" w:rsidR="0AC4954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ensure that </w:t>
            </w:r>
            <w:r w:rsidRPr="177B0A7C" w:rsidR="469E41D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occupation</w:t>
            </w:r>
            <w:r w:rsidRPr="177B0A7C" w:rsidR="7F96574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al health strategy is embedded</w:t>
            </w:r>
            <w:r w:rsidRPr="177B0A7C" w:rsidR="28BDD28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77B0A7C" w:rsidR="28BDD28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i</w:t>
            </w:r>
            <w:r w:rsidRPr="177B0A7C" w:rsidR="28BDD28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n other areas of the organisation</w:t>
            </w:r>
            <w:r w:rsidRPr="177B0A7C" w:rsidR="7F96574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177B0A7C" w:rsidR="293DB0E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4AD7CB09" w:rsidTr="177B0A7C" w14:paraId="43E1DAD4">
        <w:trPr>
          <w:trHeight w:val="300"/>
        </w:trPr>
        <w:tc>
          <w:tcPr>
            <w:tcW w:w="9015" w:type="dxa"/>
            <w:tcMar/>
          </w:tcPr>
          <w:p w:rsidR="4AD7CB09" w:rsidP="4AD7CB09" w:rsidRDefault="4AD7CB09" w14:paraId="48700F76" w14:textId="4E301B30">
            <w:pPr>
              <w:pStyle w:val="Normal"/>
              <w:rPr>
                <w:rFonts w:ascii="Century Gothic" w:hAnsi="Century Gothic" w:eastAsia="Times New Roman" w:cs="Times New Roman"/>
                <w:sz w:val="24"/>
                <w:szCs w:val="24"/>
              </w:rPr>
            </w:pPr>
          </w:p>
          <w:p w:rsidR="4AD7CB09" w:rsidP="4AD7CB09" w:rsidRDefault="4AD7CB09" w14:paraId="43CA019E" w14:textId="1E56E488">
            <w:pPr>
              <w:pStyle w:val="Normal"/>
              <w:rPr>
                <w:rFonts w:ascii="Century Gothic" w:hAnsi="Century Gothic" w:eastAsia="Times New Roman" w:cs="Times New Roman"/>
                <w:sz w:val="24"/>
                <w:szCs w:val="24"/>
              </w:rPr>
            </w:pPr>
          </w:p>
        </w:tc>
      </w:tr>
    </w:tbl>
    <w:p w:rsidR="4AD7CB09" w:rsidRDefault="4AD7CB09" w14:paraId="041E53F5" w14:textId="2BEBFE03"/>
    <w:sectPr w:rsidR="00112D0A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66bd0744e6a84af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41E2" w:rsidP="009B369A" w:rsidRDefault="006A41E2" w14:paraId="02BD42D3" w14:textId="77777777">
      <w:pPr>
        <w:spacing w:after="0" w:line="240" w:lineRule="auto"/>
      </w:pPr>
      <w:r>
        <w:separator/>
      </w:r>
    </w:p>
  </w:endnote>
  <w:endnote w:type="continuationSeparator" w:id="0">
    <w:p w:rsidR="006A41E2" w:rsidP="009B369A" w:rsidRDefault="006A41E2" w14:paraId="2B9F0B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4E1C5F" w:rsidTr="70AEBCCD" w14:paraId="459D818B">
      <w:trPr>
        <w:trHeight w:val="300"/>
      </w:trPr>
      <w:tc>
        <w:tcPr>
          <w:tcW w:w="3005" w:type="dxa"/>
          <w:tcMar/>
        </w:tcPr>
        <w:p w:rsidR="574E1C5F" w:rsidP="574E1C5F" w:rsidRDefault="574E1C5F" w14:paraId="1DB3E349" w14:textId="692B8C6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74E1C5F" w:rsidP="574E1C5F" w:rsidRDefault="574E1C5F" w14:paraId="27A5DEA6" w14:textId="49BD9AE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74E1C5F" w:rsidP="70AEBCCD" w:rsidRDefault="574E1C5F" w14:paraId="78A18FAC" w14:textId="3ED50704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noProof w:val="0"/>
              <w:lang w:val="en-GB"/>
            </w:rPr>
          </w:pPr>
          <w:r w:rsidRPr="70AEBCCD" w:rsidR="70AEBCCD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GB"/>
            </w:rPr>
            <w:t>v4/25</w:t>
          </w:r>
        </w:p>
      </w:tc>
    </w:tr>
  </w:tbl>
  <w:p w:rsidR="574E1C5F" w:rsidP="574E1C5F" w:rsidRDefault="574E1C5F" w14:paraId="41039A85" w14:textId="619D170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41E2" w:rsidP="009B369A" w:rsidRDefault="006A41E2" w14:paraId="4E6116E0" w14:textId="77777777">
      <w:pPr>
        <w:spacing w:after="0" w:line="240" w:lineRule="auto"/>
      </w:pPr>
      <w:r>
        <w:separator/>
      </w:r>
    </w:p>
  </w:footnote>
  <w:footnote w:type="continuationSeparator" w:id="0">
    <w:p w:rsidR="006A41E2" w:rsidP="009B369A" w:rsidRDefault="006A41E2" w14:paraId="0306B5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B369A" w:rsidP="574E1C5F" w:rsidRDefault="009B369A" w14:paraId="67D03308" w14:textId="0E8B5EF2">
    <w:pPr>
      <w:jc w:val="center"/>
    </w:pPr>
    <w:r w:rsidR="574E1C5F">
      <w:drawing>
        <wp:inline wp14:editId="15F9E3F3" wp14:anchorId="3DA94F97">
          <wp:extent cx="952500" cy="952500"/>
          <wp:effectExtent l="0" t="0" r="0" b="0"/>
          <wp:docPr id="39984827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d59add89d744e97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82f45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9ad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08DD59"/>
    <w:rsid w:val="000D10A6"/>
    <w:rsid w:val="00112D0A"/>
    <w:rsid w:val="006868DF"/>
    <w:rsid w:val="006A41E2"/>
    <w:rsid w:val="007B1811"/>
    <w:rsid w:val="009B369A"/>
    <w:rsid w:val="00DA7F47"/>
    <w:rsid w:val="00E01DBD"/>
    <w:rsid w:val="00E232BE"/>
    <w:rsid w:val="03041F1C"/>
    <w:rsid w:val="03A16BCB"/>
    <w:rsid w:val="03CA67AB"/>
    <w:rsid w:val="0469B6E0"/>
    <w:rsid w:val="05942D7A"/>
    <w:rsid w:val="0614E1E1"/>
    <w:rsid w:val="07313D36"/>
    <w:rsid w:val="073F6ADA"/>
    <w:rsid w:val="078C53EC"/>
    <w:rsid w:val="08A2A9ED"/>
    <w:rsid w:val="08B2A6C4"/>
    <w:rsid w:val="08B2D478"/>
    <w:rsid w:val="08F4646E"/>
    <w:rsid w:val="0A362E1C"/>
    <w:rsid w:val="0A8C550E"/>
    <w:rsid w:val="0AC49543"/>
    <w:rsid w:val="0B3733C8"/>
    <w:rsid w:val="0C771CC7"/>
    <w:rsid w:val="0C94153E"/>
    <w:rsid w:val="0D079EB9"/>
    <w:rsid w:val="0F595447"/>
    <w:rsid w:val="0F5DA69D"/>
    <w:rsid w:val="104E5B76"/>
    <w:rsid w:val="1084CF89"/>
    <w:rsid w:val="177B0A7C"/>
    <w:rsid w:val="180D36A2"/>
    <w:rsid w:val="1877751C"/>
    <w:rsid w:val="18DAEED8"/>
    <w:rsid w:val="1B3DC558"/>
    <w:rsid w:val="1B577B34"/>
    <w:rsid w:val="1BCC2766"/>
    <w:rsid w:val="1D949B9A"/>
    <w:rsid w:val="205FD99F"/>
    <w:rsid w:val="208AE58C"/>
    <w:rsid w:val="20D0EFCC"/>
    <w:rsid w:val="2143CF14"/>
    <w:rsid w:val="215DCA41"/>
    <w:rsid w:val="21E5E251"/>
    <w:rsid w:val="2258AE68"/>
    <w:rsid w:val="226675A2"/>
    <w:rsid w:val="226D9B29"/>
    <w:rsid w:val="258E1161"/>
    <w:rsid w:val="27081590"/>
    <w:rsid w:val="273CE4A0"/>
    <w:rsid w:val="283E016C"/>
    <w:rsid w:val="283E016C"/>
    <w:rsid w:val="28602C1E"/>
    <w:rsid w:val="28BDD28D"/>
    <w:rsid w:val="293DB0E3"/>
    <w:rsid w:val="29B7B9FA"/>
    <w:rsid w:val="29E24654"/>
    <w:rsid w:val="2A873130"/>
    <w:rsid w:val="2CD1B853"/>
    <w:rsid w:val="2CD1B853"/>
    <w:rsid w:val="2CD79604"/>
    <w:rsid w:val="2DACB3CF"/>
    <w:rsid w:val="2F8EDEB7"/>
    <w:rsid w:val="2FB5C255"/>
    <w:rsid w:val="30914BCD"/>
    <w:rsid w:val="30B99E99"/>
    <w:rsid w:val="31EB5420"/>
    <w:rsid w:val="32611D43"/>
    <w:rsid w:val="3372F368"/>
    <w:rsid w:val="35C64CBA"/>
    <w:rsid w:val="3654EB29"/>
    <w:rsid w:val="375B133E"/>
    <w:rsid w:val="3763B08F"/>
    <w:rsid w:val="38503DD5"/>
    <w:rsid w:val="390409B2"/>
    <w:rsid w:val="3A5AB552"/>
    <w:rsid w:val="3BF0C0E0"/>
    <w:rsid w:val="3DC89960"/>
    <w:rsid w:val="3E069453"/>
    <w:rsid w:val="3E949794"/>
    <w:rsid w:val="3EAE0261"/>
    <w:rsid w:val="3F39E5DD"/>
    <w:rsid w:val="405AEFA4"/>
    <w:rsid w:val="438F088A"/>
    <w:rsid w:val="4445E4BF"/>
    <w:rsid w:val="4463CD99"/>
    <w:rsid w:val="4548BECD"/>
    <w:rsid w:val="458D63A9"/>
    <w:rsid w:val="45F3A5A7"/>
    <w:rsid w:val="469E41D7"/>
    <w:rsid w:val="46A89C29"/>
    <w:rsid w:val="46C0E853"/>
    <w:rsid w:val="48179E64"/>
    <w:rsid w:val="49547A40"/>
    <w:rsid w:val="4ABF267E"/>
    <w:rsid w:val="4AD7CB09"/>
    <w:rsid w:val="4B299881"/>
    <w:rsid w:val="4B529879"/>
    <w:rsid w:val="4C6E3480"/>
    <w:rsid w:val="4DF8B403"/>
    <w:rsid w:val="50B5B8FE"/>
    <w:rsid w:val="50C72C27"/>
    <w:rsid w:val="52AFDADD"/>
    <w:rsid w:val="52E9E118"/>
    <w:rsid w:val="542B5D95"/>
    <w:rsid w:val="549A6E0A"/>
    <w:rsid w:val="570C01AA"/>
    <w:rsid w:val="574E1C5F"/>
    <w:rsid w:val="57CDD5EA"/>
    <w:rsid w:val="580A5E73"/>
    <w:rsid w:val="58155746"/>
    <w:rsid w:val="581F099A"/>
    <w:rsid w:val="59081C5A"/>
    <w:rsid w:val="599231DD"/>
    <w:rsid w:val="59961A4C"/>
    <w:rsid w:val="59C40015"/>
    <w:rsid w:val="5A6C25A2"/>
    <w:rsid w:val="5AA35CE9"/>
    <w:rsid w:val="5AB6C7E2"/>
    <w:rsid w:val="5C084F53"/>
    <w:rsid w:val="5D182613"/>
    <w:rsid w:val="5E1FF6D7"/>
    <w:rsid w:val="5E2B8C7A"/>
    <w:rsid w:val="603A797D"/>
    <w:rsid w:val="60EA6817"/>
    <w:rsid w:val="6160E148"/>
    <w:rsid w:val="6178A299"/>
    <w:rsid w:val="61D2FE70"/>
    <w:rsid w:val="62D4191D"/>
    <w:rsid w:val="650281FA"/>
    <w:rsid w:val="65620AF2"/>
    <w:rsid w:val="6659CAC3"/>
    <w:rsid w:val="671DE821"/>
    <w:rsid w:val="672E90B6"/>
    <w:rsid w:val="6779EC40"/>
    <w:rsid w:val="677AEB22"/>
    <w:rsid w:val="69C3D3A5"/>
    <w:rsid w:val="6ACF5204"/>
    <w:rsid w:val="6E323BFB"/>
    <w:rsid w:val="6E4B009B"/>
    <w:rsid w:val="6F4733F2"/>
    <w:rsid w:val="6F6489D9"/>
    <w:rsid w:val="6FD12458"/>
    <w:rsid w:val="70AEBCCD"/>
    <w:rsid w:val="71CCB4AF"/>
    <w:rsid w:val="71FF565A"/>
    <w:rsid w:val="726D22B0"/>
    <w:rsid w:val="72ED6FA7"/>
    <w:rsid w:val="743406DE"/>
    <w:rsid w:val="7524A327"/>
    <w:rsid w:val="75EB02EF"/>
    <w:rsid w:val="77E0856E"/>
    <w:rsid w:val="78028451"/>
    <w:rsid w:val="78162C70"/>
    <w:rsid w:val="7AFA6231"/>
    <w:rsid w:val="7AFA6231"/>
    <w:rsid w:val="7BC791B9"/>
    <w:rsid w:val="7BD2904A"/>
    <w:rsid w:val="7CF17132"/>
    <w:rsid w:val="7D3C2F22"/>
    <w:rsid w:val="7F0D57D4"/>
    <w:rsid w:val="7F274365"/>
    <w:rsid w:val="7F90EF07"/>
    <w:rsid w:val="7F9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EFF9"/>
  <w15:chartTrackingRefBased/>
  <w15:docId w15:val="{75F1D011-B98F-40F9-B061-BE7A33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5620AF2"/>
    <w:rPr>
      <w:noProof w:val="0"/>
    </w:rPr>
  </w:style>
  <w:style w:type="paragraph" w:styleId="Heading1">
    <w:uiPriority w:val="9"/>
    <w:name w:val="heading 1"/>
    <w:basedOn w:val="Normal"/>
    <w:next w:val="Normal"/>
    <w:link w:val="Heading1Char"/>
    <w:qFormat/>
    <w:rsid w:val="65620AF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65620AF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65620AF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65620AF2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65620AF2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65620AF2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65620AF2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65620AF2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65620AF2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36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B36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B36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369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369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369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369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369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369A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65620AF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9B36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65620AF2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65620AF2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9B369A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65620AF2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9A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65620AF2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9B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9A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link w:val="HeaderChar"/>
    <w:rsid w:val="65620AF2"/>
    <w:pPr>
      <w:tabs>
        <w:tab w:val="center" w:leader="none" w:pos="4513"/>
        <w:tab w:val="right" w:leader="none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369A"/>
  </w:style>
  <w:style w:type="paragraph" w:styleId="Footer">
    <w:uiPriority w:val="99"/>
    <w:name w:val="footer"/>
    <w:basedOn w:val="Normal"/>
    <w:unhideWhenUsed/>
    <w:link w:val="FooterChar"/>
    <w:rsid w:val="65620AF2"/>
    <w:pPr>
      <w:tabs>
        <w:tab w:val="center" w:leader="none" w:pos="4513"/>
        <w:tab w:val="right" w:leader="none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369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8ce330f6fd024dc3" /><Relationship Type="http://schemas.openxmlformats.org/officeDocument/2006/relationships/footer" Target="footer.xml" Id="R66bd0744e6a84a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fd59add89d744e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Rathborne</dc:creator>
  <keywords/>
  <dc:description/>
  <lastModifiedBy>Richard Daniel Curtis</lastModifiedBy>
  <revision>13</revision>
  <dcterms:created xsi:type="dcterms:W3CDTF">2024-12-03T12:07:00.0000000Z</dcterms:created>
  <dcterms:modified xsi:type="dcterms:W3CDTF">2026-01-07T17:07:43.9121577Z</dcterms:modified>
</coreProperties>
</file>